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485CC" w14:textId="77777777" w:rsidR="00770723" w:rsidRPr="00445E99" w:rsidRDefault="00770723" w:rsidP="005C614E">
      <w:pPr>
        <w:pStyle w:val="TFHBigTitle"/>
        <w:rPr>
          <w:color w:val="DD0031"/>
        </w:rPr>
      </w:pPr>
      <w:r w:rsidRPr="00445E99">
        <w:rPr>
          <w:color w:val="DD0031"/>
        </w:rPr>
        <w:t>Innovating for Improvement</w:t>
      </w:r>
    </w:p>
    <w:p w14:paraId="73FDAA5D" w14:textId="3493E4F7" w:rsidR="00770723" w:rsidRPr="00A57DB4" w:rsidRDefault="00C02B77" w:rsidP="002629EA">
      <w:pPr>
        <w:pStyle w:val="THFprojecttitle"/>
        <w:tabs>
          <w:tab w:val="clear" w:pos="0"/>
        </w:tabs>
      </w:pPr>
      <w:r w:rsidRPr="00C02B77">
        <w:t>Facilitating heroin smokers’ access to existing community COPD services in Liverpool</w:t>
      </w:r>
    </w:p>
    <w:p w14:paraId="657DA805" w14:textId="36CD8780" w:rsidR="005C614E" w:rsidRPr="00A57DB4" w:rsidRDefault="00C82593" w:rsidP="00A57DB4">
      <w:pPr>
        <w:pStyle w:val="THForganisationname"/>
      </w:pPr>
      <w:r w:rsidRPr="00991EEC">
        <w:rPr>
          <w:noProof/>
          <w:lang w:val="en-GB" w:eastAsia="en-GB"/>
        </w:rPr>
        <w:drawing>
          <wp:anchor distT="0" distB="0" distL="114300" distR="114300" simplePos="0" relativeHeight="251659264" behindDoc="0" locked="0" layoutInCell="1" allowOverlap="1" wp14:anchorId="4511245A" wp14:editId="3DAC5960">
            <wp:simplePos x="0" y="0"/>
            <wp:positionH relativeFrom="page">
              <wp:posOffset>2093595</wp:posOffset>
            </wp:positionH>
            <wp:positionV relativeFrom="page">
              <wp:posOffset>5039995</wp:posOffset>
            </wp:positionV>
            <wp:extent cx="3675380" cy="3995420"/>
            <wp:effectExtent l="0" t="0" r="127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picture NEW.PNG"/>
                    <pic:cNvPicPr/>
                  </pic:nvPicPr>
                  <pic:blipFill>
                    <a:blip r:embed="rId8">
                      <a:extLst>
                        <a:ext uri="{28A0092B-C50C-407E-A947-70E740481C1C}">
                          <a14:useLocalDpi xmlns:a14="http://schemas.microsoft.com/office/drawing/2010/main" val="0"/>
                        </a:ext>
                      </a:extLst>
                    </a:blip>
                    <a:stretch>
                      <a:fillRect/>
                    </a:stretch>
                  </pic:blipFill>
                  <pic:spPr>
                    <a:xfrm>
                      <a:off x="0" y="0"/>
                      <a:ext cx="3675380" cy="3995420"/>
                    </a:xfrm>
                    <a:prstGeom prst="rect">
                      <a:avLst/>
                    </a:prstGeom>
                  </pic:spPr>
                </pic:pic>
              </a:graphicData>
            </a:graphic>
            <wp14:sizeRelH relativeFrom="page">
              <wp14:pctWidth>0</wp14:pctWidth>
            </wp14:sizeRelH>
            <wp14:sizeRelV relativeFrom="page">
              <wp14:pctHeight>0</wp14:pctHeight>
            </wp14:sizeRelV>
          </wp:anchor>
        </w:drawing>
      </w:r>
      <w:r w:rsidR="00D31F39">
        <w:rPr>
          <w:lang w:val="en-GB"/>
        </w:rPr>
        <w:t xml:space="preserve">Royal Liverpool </w:t>
      </w:r>
      <w:r w:rsidR="00C840B3">
        <w:rPr>
          <w:lang w:val="en-GB"/>
        </w:rPr>
        <w:t xml:space="preserve">&amp; Broadgreen </w:t>
      </w:r>
      <w:r w:rsidR="00D31F39">
        <w:rPr>
          <w:lang w:val="en-GB"/>
        </w:rPr>
        <w:t>University Hospital</w:t>
      </w:r>
      <w:r w:rsidR="006C3B8B">
        <w:rPr>
          <w:lang w:val="en-GB"/>
        </w:rPr>
        <w:t>s NHS Trust</w:t>
      </w:r>
    </w:p>
    <w:p w14:paraId="20A3B9EF" w14:textId="77777777" w:rsidR="00D35008" w:rsidRDefault="00D35008">
      <w:pPr>
        <w:rPr>
          <w:rFonts w:ascii="Arial" w:eastAsiaTheme="minorEastAsia" w:hAnsi="Arial" w:cs="Arial"/>
          <w:color w:val="000000" w:themeColor="text1"/>
          <w:sz w:val="28"/>
          <w:szCs w:val="64"/>
          <w:lang w:val="en-US"/>
        </w:rPr>
        <w:sectPr w:rsidR="00D35008" w:rsidSect="00EF226D">
          <w:footerReference w:type="default" r:id="rId9"/>
          <w:headerReference w:type="first" r:id="rId10"/>
          <w:footerReference w:type="first" r:id="rId11"/>
          <w:pgSz w:w="11906" w:h="16838"/>
          <w:pgMar w:top="2410" w:right="1440" w:bottom="1276" w:left="1985" w:header="426" w:footer="1752" w:gutter="0"/>
          <w:cols w:space="708"/>
          <w:titlePg/>
          <w:docGrid w:linePitch="360"/>
        </w:sectPr>
      </w:pPr>
    </w:p>
    <w:p w14:paraId="516358C9" w14:textId="77777777" w:rsidR="00644A3D" w:rsidRDefault="00644A3D" w:rsidP="00AF2A13">
      <w:pPr>
        <w:pStyle w:val="THFBodytext"/>
      </w:pPr>
      <w:bookmarkStart w:id="0" w:name="_GoBack"/>
      <w:bookmarkEnd w:id="0"/>
    </w:p>
    <w:p w14:paraId="6B51FB32" w14:textId="77777777" w:rsidR="00644A3D" w:rsidRPr="000919DD" w:rsidRDefault="00644A3D" w:rsidP="00AF2A13">
      <w:pPr>
        <w:pStyle w:val="THFHeadinglevel1"/>
      </w:pPr>
      <w:r w:rsidRPr="000919DD">
        <w:t>Contents</w:t>
      </w:r>
    </w:p>
    <w:sdt>
      <w:sdtPr>
        <w:rPr>
          <w:rFonts w:asciiTheme="minorHAnsi" w:hAnsiTheme="minorHAnsi"/>
        </w:rPr>
        <w:id w:val="-576134491"/>
        <w:docPartObj>
          <w:docPartGallery w:val="Table of Contents"/>
          <w:docPartUnique/>
        </w:docPartObj>
      </w:sdtPr>
      <w:sdtEndPr>
        <w:rPr>
          <w:noProof/>
        </w:rPr>
      </w:sdtEndPr>
      <w:sdtContent>
        <w:p w14:paraId="4B4E069D" w14:textId="4C9C3836" w:rsidR="006F07B1" w:rsidRDefault="00644A3D">
          <w:pPr>
            <w:pStyle w:val="TOC2"/>
            <w:tabs>
              <w:tab w:val="right" w:leader="dot" w:pos="9016"/>
            </w:tabs>
            <w:rPr>
              <w:rFonts w:asciiTheme="minorHAnsi" w:eastAsiaTheme="minorEastAsia" w:hAnsiTheme="minorHAnsi"/>
              <w:noProof/>
              <w:lang w:eastAsia="en-GB"/>
            </w:rPr>
          </w:pPr>
          <w:r w:rsidRPr="00A57DB4">
            <w:fldChar w:fldCharType="begin"/>
          </w:r>
          <w:r w:rsidRPr="00A57DB4">
            <w:instrText xml:space="preserve"> TOC \o "1-3" \h \z \u </w:instrText>
          </w:r>
          <w:r w:rsidRPr="00A57DB4">
            <w:fldChar w:fldCharType="separate"/>
          </w:r>
          <w:hyperlink w:anchor="_Toc5100033" w:history="1">
            <w:r w:rsidR="006F07B1" w:rsidRPr="00514956">
              <w:rPr>
                <w:rStyle w:val="Hyperlink"/>
                <w:noProof/>
              </w:rPr>
              <w:t>About the project</w:t>
            </w:r>
            <w:r w:rsidR="006F07B1">
              <w:rPr>
                <w:noProof/>
                <w:webHidden/>
              </w:rPr>
              <w:tab/>
            </w:r>
            <w:r w:rsidR="006F07B1">
              <w:rPr>
                <w:noProof/>
                <w:webHidden/>
              </w:rPr>
              <w:fldChar w:fldCharType="begin"/>
            </w:r>
            <w:r w:rsidR="006F07B1">
              <w:rPr>
                <w:noProof/>
                <w:webHidden/>
              </w:rPr>
              <w:instrText xml:space="preserve"> PAGEREF _Toc5100033 \h </w:instrText>
            </w:r>
            <w:r w:rsidR="006F07B1">
              <w:rPr>
                <w:noProof/>
                <w:webHidden/>
              </w:rPr>
            </w:r>
            <w:r w:rsidR="006F07B1">
              <w:rPr>
                <w:noProof/>
                <w:webHidden/>
              </w:rPr>
              <w:fldChar w:fldCharType="separate"/>
            </w:r>
            <w:r w:rsidR="006F07B1">
              <w:rPr>
                <w:noProof/>
                <w:webHidden/>
              </w:rPr>
              <w:t>3</w:t>
            </w:r>
            <w:r w:rsidR="006F07B1">
              <w:rPr>
                <w:noProof/>
                <w:webHidden/>
              </w:rPr>
              <w:fldChar w:fldCharType="end"/>
            </w:r>
          </w:hyperlink>
        </w:p>
        <w:p w14:paraId="0B608523" w14:textId="4AE7632F" w:rsidR="006F07B1" w:rsidRDefault="006F07B1">
          <w:pPr>
            <w:pStyle w:val="TOC2"/>
            <w:tabs>
              <w:tab w:val="right" w:leader="dot" w:pos="9016"/>
            </w:tabs>
            <w:rPr>
              <w:rFonts w:asciiTheme="minorHAnsi" w:eastAsiaTheme="minorEastAsia" w:hAnsiTheme="minorHAnsi"/>
              <w:noProof/>
              <w:lang w:eastAsia="en-GB"/>
            </w:rPr>
          </w:pPr>
          <w:hyperlink w:anchor="_Toc5100034" w:history="1">
            <w:r w:rsidRPr="00514956">
              <w:rPr>
                <w:rStyle w:val="Hyperlink"/>
                <w:noProof/>
              </w:rPr>
              <w:t>Part 1: Abstract</w:t>
            </w:r>
            <w:r>
              <w:rPr>
                <w:noProof/>
                <w:webHidden/>
              </w:rPr>
              <w:tab/>
            </w:r>
            <w:r>
              <w:rPr>
                <w:noProof/>
                <w:webHidden/>
              </w:rPr>
              <w:fldChar w:fldCharType="begin"/>
            </w:r>
            <w:r>
              <w:rPr>
                <w:noProof/>
                <w:webHidden/>
              </w:rPr>
              <w:instrText xml:space="preserve"> PAGEREF _Toc5100034 \h </w:instrText>
            </w:r>
            <w:r>
              <w:rPr>
                <w:noProof/>
                <w:webHidden/>
              </w:rPr>
            </w:r>
            <w:r>
              <w:rPr>
                <w:noProof/>
                <w:webHidden/>
              </w:rPr>
              <w:fldChar w:fldCharType="separate"/>
            </w:r>
            <w:r>
              <w:rPr>
                <w:noProof/>
                <w:webHidden/>
              </w:rPr>
              <w:t>4</w:t>
            </w:r>
            <w:r>
              <w:rPr>
                <w:noProof/>
                <w:webHidden/>
              </w:rPr>
              <w:fldChar w:fldCharType="end"/>
            </w:r>
          </w:hyperlink>
        </w:p>
        <w:p w14:paraId="10E049DD" w14:textId="4A74988B" w:rsidR="006F07B1" w:rsidRDefault="006F07B1">
          <w:pPr>
            <w:pStyle w:val="TOC2"/>
            <w:tabs>
              <w:tab w:val="right" w:leader="dot" w:pos="9016"/>
            </w:tabs>
            <w:rPr>
              <w:rFonts w:asciiTheme="minorHAnsi" w:eastAsiaTheme="minorEastAsia" w:hAnsiTheme="minorHAnsi"/>
              <w:noProof/>
              <w:lang w:eastAsia="en-GB"/>
            </w:rPr>
          </w:pPr>
          <w:hyperlink w:anchor="_Toc5100035" w:history="1">
            <w:r w:rsidRPr="00514956">
              <w:rPr>
                <w:rStyle w:val="Hyperlink"/>
                <w:noProof/>
              </w:rPr>
              <w:t>Part 2: Progress and outcomes</w:t>
            </w:r>
            <w:r>
              <w:rPr>
                <w:noProof/>
                <w:webHidden/>
              </w:rPr>
              <w:tab/>
            </w:r>
            <w:r>
              <w:rPr>
                <w:noProof/>
                <w:webHidden/>
              </w:rPr>
              <w:fldChar w:fldCharType="begin"/>
            </w:r>
            <w:r>
              <w:rPr>
                <w:noProof/>
                <w:webHidden/>
              </w:rPr>
              <w:instrText xml:space="preserve"> PAGEREF _Toc5100035 \h </w:instrText>
            </w:r>
            <w:r>
              <w:rPr>
                <w:noProof/>
                <w:webHidden/>
              </w:rPr>
            </w:r>
            <w:r>
              <w:rPr>
                <w:noProof/>
                <w:webHidden/>
              </w:rPr>
              <w:fldChar w:fldCharType="separate"/>
            </w:r>
            <w:r>
              <w:rPr>
                <w:noProof/>
                <w:webHidden/>
              </w:rPr>
              <w:t>5</w:t>
            </w:r>
            <w:r>
              <w:rPr>
                <w:noProof/>
                <w:webHidden/>
              </w:rPr>
              <w:fldChar w:fldCharType="end"/>
            </w:r>
          </w:hyperlink>
        </w:p>
        <w:p w14:paraId="077E54F7" w14:textId="20A6AC2E" w:rsidR="006F07B1" w:rsidRDefault="006F07B1">
          <w:pPr>
            <w:pStyle w:val="TOC2"/>
            <w:tabs>
              <w:tab w:val="right" w:leader="dot" w:pos="9016"/>
            </w:tabs>
            <w:rPr>
              <w:rFonts w:asciiTheme="minorHAnsi" w:eastAsiaTheme="minorEastAsia" w:hAnsiTheme="minorHAnsi"/>
              <w:noProof/>
              <w:lang w:eastAsia="en-GB"/>
            </w:rPr>
          </w:pPr>
          <w:hyperlink w:anchor="_Toc5100036" w:history="1">
            <w:r w:rsidRPr="00514956">
              <w:rPr>
                <w:rStyle w:val="Hyperlink"/>
                <w:noProof/>
              </w:rPr>
              <w:t>Part 3: Cost impact</w:t>
            </w:r>
            <w:r>
              <w:rPr>
                <w:noProof/>
                <w:webHidden/>
              </w:rPr>
              <w:tab/>
            </w:r>
            <w:r>
              <w:rPr>
                <w:noProof/>
                <w:webHidden/>
              </w:rPr>
              <w:fldChar w:fldCharType="begin"/>
            </w:r>
            <w:r>
              <w:rPr>
                <w:noProof/>
                <w:webHidden/>
              </w:rPr>
              <w:instrText xml:space="preserve"> PAGEREF _Toc5100036 \h </w:instrText>
            </w:r>
            <w:r>
              <w:rPr>
                <w:noProof/>
                <w:webHidden/>
              </w:rPr>
            </w:r>
            <w:r>
              <w:rPr>
                <w:noProof/>
                <w:webHidden/>
              </w:rPr>
              <w:fldChar w:fldCharType="separate"/>
            </w:r>
            <w:r>
              <w:rPr>
                <w:noProof/>
                <w:webHidden/>
              </w:rPr>
              <w:t>9</w:t>
            </w:r>
            <w:r>
              <w:rPr>
                <w:noProof/>
                <w:webHidden/>
              </w:rPr>
              <w:fldChar w:fldCharType="end"/>
            </w:r>
          </w:hyperlink>
        </w:p>
        <w:p w14:paraId="148E4B9E" w14:textId="163701B5" w:rsidR="006F07B1" w:rsidRDefault="006F07B1">
          <w:pPr>
            <w:pStyle w:val="TOC2"/>
            <w:tabs>
              <w:tab w:val="right" w:leader="dot" w:pos="9016"/>
            </w:tabs>
            <w:rPr>
              <w:rFonts w:asciiTheme="minorHAnsi" w:eastAsiaTheme="minorEastAsia" w:hAnsiTheme="minorHAnsi"/>
              <w:noProof/>
              <w:lang w:eastAsia="en-GB"/>
            </w:rPr>
          </w:pPr>
          <w:hyperlink w:anchor="_Toc5100037" w:history="1">
            <w:r w:rsidRPr="00514956">
              <w:rPr>
                <w:rStyle w:val="Hyperlink"/>
                <w:noProof/>
              </w:rPr>
              <w:t>Part 4: Learning from your project</w:t>
            </w:r>
            <w:r>
              <w:rPr>
                <w:noProof/>
                <w:webHidden/>
              </w:rPr>
              <w:tab/>
            </w:r>
            <w:r>
              <w:rPr>
                <w:noProof/>
                <w:webHidden/>
              </w:rPr>
              <w:fldChar w:fldCharType="begin"/>
            </w:r>
            <w:r>
              <w:rPr>
                <w:noProof/>
                <w:webHidden/>
              </w:rPr>
              <w:instrText xml:space="preserve"> PAGEREF _Toc5100037 \h </w:instrText>
            </w:r>
            <w:r>
              <w:rPr>
                <w:noProof/>
                <w:webHidden/>
              </w:rPr>
            </w:r>
            <w:r>
              <w:rPr>
                <w:noProof/>
                <w:webHidden/>
              </w:rPr>
              <w:fldChar w:fldCharType="separate"/>
            </w:r>
            <w:r>
              <w:rPr>
                <w:noProof/>
                <w:webHidden/>
              </w:rPr>
              <w:t>11</w:t>
            </w:r>
            <w:r>
              <w:rPr>
                <w:noProof/>
                <w:webHidden/>
              </w:rPr>
              <w:fldChar w:fldCharType="end"/>
            </w:r>
          </w:hyperlink>
        </w:p>
        <w:p w14:paraId="31F7B59B" w14:textId="45866C5C" w:rsidR="006F07B1" w:rsidRDefault="006F07B1">
          <w:pPr>
            <w:pStyle w:val="TOC2"/>
            <w:tabs>
              <w:tab w:val="right" w:leader="dot" w:pos="9016"/>
            </w:tabs>
            <w:rPr>
              <w:rFonts w:asciiTheme="minorHAnsi" w:eastAsiaTheme="minorEastAsia" w:hAnsiTheme="minorHAnsi"/>
              <w:noProof/>
              <w:lang w:eastAsia="en-GB"/>
            </w:rPr>
          </w:pPr>
          <w:hyperlink w:anchor="_Toc5100038" w:history="1">
            <w:r w:rsidRPr="00514956">
              <w:rPr>
                <w:rStyle w:val="Hyperlink"/>
                <w:noProof/>
              </w:rPr>
              <w:t>Part 5: Sustainability and spread</w:t>
            </w:r>
            <w:r>
              <w:rPr>
                <w:noProof/>
                <w:webHidden/>
              </w:rPr>
              <w:tab/>
            </w:r>
            <w:r>
              <w:rPr>
                <w:noProof/>
                <w:webHidden/>
              </w:rPr>
              <w:fldChar w:fldCharType="begin"/>
            </w:r>
            <w:r>
              <w:rPr>
                <w:noProof/>
                <w:webHidden/>
              </w:rPr>
              <w:instrText xml:space="preserve"> PAGEREF _Toc5100038 \h </w:instrText>
            </w:r>
            <w:r>
              <w:rPr>
                <w:noProof/>
                <w:webHidden/>
              </w:rPr>
            </w:r>
            <w:r>
              <w:rPr>
                <w:noProof/>
                <w:webHidden/>
              </w:rPr>
              <w:fldChar w:fldCharType="separate"/>
            </w:r>
            <w:r>
              <w:rPr>
                <w:noProof/>
                <w:webHidden/>
              </w:rPr>
              <w:t>13</w:t>
            </w:r>
            <w:r>
              <w:rPr>
                <w:noProof/>
                <w:webHidden/>
              </w:rPr>
              <w:fldChar w:fldCharType="end"/>
            </w:r>
          </w:hyperlink>
        </w:p>
        <w:p w14:paraId="795A3398" w14:textId="787212F4" w:rsidR="00644A3D" w:rsidRDefault="00644A3D" w:rsidP="00AF2A13">
          <w:pPr>
            <w:pStyle w:val="TOC2"/>
          </w:pPr>
          <w:r w:rsidRPr="00A57DB4">
            <w:fldChar w:fldCharType="end"/>
          </w:r>
        </w:p>
        <w:p w14:paraId="147A3420" w14:textId="77777777" w:rsidR="00644A3D" w:rsidRPr="00C3717C" w:rsidRDefault="006F07B1" w:rsidP="00AF2A13"/>
      </w:sdtContent>
    </w:sdt>
    <w:p w14:paraId="5362EFA2" w14:textId="196022D5" w:rsidR="00770723" w:rsidRDefault="00644A3D" w:rsidP="005C02C3">
      <w:pPr>
        <w:rPr>
          <w:rFonts w:ascii="Arial" w:hAnsi="Arial" w:cs="Arial"/>
          <w:b/>
        </w:rPr>
      </w:pPr>
      <w:r>
        <w:rPr>
          <w:rFonts w:ascii="Arial" w:hAnsi="Arial" w:cs="Arial"/>
          <w:b/>
        </w:rPr>
        <w:t xml:space="preserve"> </w:t>
      </w:r>
      <w:r w:rsidR="00770723">
        <w:rPr>
          <w:rFonts w:ascii="Arial" w:hAnsi="Arial" w:cs="Arial"/>
          <w:b/>
        </w:rPr>
        <w:br w:type="page"/>
      </w:r>
    </w:p>
    <w:p w14:paraId="1590006E" w14:textId="77777777" w:rsidR="002629EA" w:rsidRDefault="002629EA" w:rsidP="002629EA">
      <w:pPr>
        <w:pStyle w:val="Heading2"/>
      </w:pPr>
      <w:bookmarkStart w:id="1" w:name="_Toc5100033"/>
      <w:r>
        <w:lastRenderedPageBreak/>
        <w:t>About the project</w:t>
      </w:r>
      <w:bookmarkEnd w:id="1"/>
    </w:p>
    <w:p w14:paraId="506D48FD" w14:textId="77777777" w:rsidR="002629EA" w:rsidRDefault="002629EA" w:rsidP="002629EA">
      <w:pPr>
        <w:pStyle w:val="THFHeadinglevel2"/>
        <w:pBdr>
          <w:bottom w:val="single" w:sz="4" w:space="1" w:color="000000" w:themeColor="text1"/>
        </w:pBdr>
      </w:pPr>
    </w:p>
    <w:p w14:paraId="0B95E143" w14:textId="77777777" w:rsidR="00E03096" w:rsidRDefault="00E03096" w:rsidP="00A57DB4">
      <w:pPr>
        <w:pStyle w:val="THFHeadinglevel2"/>
      </w:pPr>
      <w:r w:rsidRPr="00E03096">
        <w:t xml:space="preserve">Project title: </w:t>
      </w:r>
    </w:p>
    <w:p w14:paraId="0FEF8888" w14:textId="28C3A668" w:rsidR="00E03096" w:rsidRPr="00E03096" w:rsidRDefault="00291048" w:rsidP="00A57DB4">
      <w:pPr>
        <w:pStyle w:val="THFBodytext"/>
        <w:rPr>
          <w:b/>
        </w:rPr>
      </w:pPr>
      <w:r w:rsidRPr="00291048">
        <w:t>Facilitating heroin smokers’ access to existing community COPD services in Liverpool</w:t>
      </w:r>
      <w:r w:rsidR="002F05AE" w:rsidRPr="00E03096">
        <w:rPr>
          <w:b/>
        </w:rPr>
        <w:t xml:space="preserve"> </w:t>
      </w:r>
    </w:p>
    <w:p w14:paraId="73557DEE" w14:textId="77777777" w:rsidR="00E03096" w:rsidRDefault="00E03096" w:rsidP="00A57DB4">
      <w:pPr>
        <w:pStyle w:val="THFHeadinglevel2"/>
      </w:pPr>
      <w:r w:rsidRPr="00E03096">
        <w:t xml:space="preserve">Lead organisation: </w:t>
      </w:r>
    </w:p>
    <w:p w14:paraId="5DFFBF28" w14:textId="0BFD8FB9" w:rsidR="00B4095F" w:rsidRDefault="00B4095F" w:rsidP="00291048">
      <w:pPr>
        <w:pStyle w:val="THFBodytext"/>
      </w:pPr>
      <w:r>
        <w:t>Royal Liverpool &amp; Broadgreen University Hospitals NHS Trust</w:t>
      </w:r>
    </w:p>
    <w:p w14:paraId="1F9E3ECA" w14:textId="77777777" w:rsidR="00E03096" w:rsidRDefault="00E03096" w:rsidP="00A57DB4">
      <w:pPr>
        <w:pStyle w:val="THFHeadinglevel2"/>
      </w:pPr>
      <w:r w:rsidRPr="00E03096">
        <w:t>Partner organisation</w:t>
      </w:r>
      <w:r w:rsidR="00CF48F6">
        <w:t>(s)</w:t>
      </w:r>
      <w:r w:rsidRPr="00E03096">
        <w:t xml:space="preserve">: </w:t>
      </w:r>
    </w:p>
    <w:p w14:paraId="02E4FC67" w14:textId="3EECBA84" w:rsidR="006060C1" w:rsidRDefault="006060C1" w:rsidP="006060C1">
      <w:pPr>
        <w:pStyle w:val="THFBodytext"/>
      </w:pPr>
      <w:r>
        <w:t>Liverpool Clinical Commissioning Group</w:t>
      </w:r>
    </w:p>
    <w:p w14:paraId="398DAD7D" w14:textId="6E07AEE2" w:rsidR="006060C1" w:rsidRPr="006060C1" w:rsidRDefault="006060C1" w:rsidP="006060C1">
      <w:pPr>
        <w:pStyle w:val="THFBodytext"/>
      </w:pPr>
      <w:r>
        <w:t>Addaction Liverpool</w:t>
      </w:r>
    </w:p>
    <w:p w14:paraId="4869F85F" w14:textId="77777777" w:rsidR="00E03096" w:rsidRDefault="00E03096" w:rsidP="00A57DB4">
      <w:pPr>
        <w:pStyle w:val="THFHeadinglevel2"/>
      </w:pPr>
      <w:r>
        <w:t>Project l</w:t>
      </w:r>
      <w:r w:rsidRPr="00E03096">
        <w:t>ead</w:t>
      </w:r>
      <w:r w:rsidR="00CF48F6">
        <w:t>(</w:t>
      </w:r>
      <w:r>
        <w:t>s</w:t>
      </w:r>
      <w:r w:rsidR="00CF48F6">
        <w:t>)</w:t>
      </w:r>
      <w:r w:rsidRPr="00E03096">
        <w:t xml:space="preserve">: </w:t>
      </w:r>
    </w:p>
    <w:p w14:paraId="246A32EC" w14:textId="206BA101" w:rsidR="00E03096" w:rsidRDefault="006060C1" w:rsidP="00A57DB4">
      <w:pPr>
        <w:pStyle w:val="THFBodytext"/>
      </w:pPr>
      <w:r>
        <w:t>Dr Hassan Burhan</w:t>
      </w:r>
    </w:p>
    <w:p w14:paraId="5C0C60A7" w14:textId="081D71ED" w:rsidR="006060C1" w:rsidRDefault="006060C1" w:rsidP="00A57DB4">
      <w:pPr>
        <w:pStyle w:val="THFBodytext"/>
      </w:pPr>
      <w:r>
        <w:t>Ms Sue Renwick</w:t>
      </w:r>
    </w:p>
    <w:p w14:paraId="6CA8330A" w14:textId="78E6441D" w:rsidR="006060C1" w:rsidRPr="00E03096" w:rsidRDefault="006060C1" w:rsidP="00A57DB4">
      <w:pPr>
        <w:pStyle w:val="THFBodytext"/>
      </w:pPr>
      <w:r>
        <w:t>Dr Sally Morrison</w:t>
      </w:r>
      <w:r w:rsidR="00410483">
        <w:t>-Griffiths</w:t>
      </w:r>
    </w:p>
    <w:p w14:paraId="19305C7B" w14:textId="77777777" w:rsidR="00E03096" w:rsidRDefault="00E03096" w:rsidP="00A57DB4">
      <w:pPr>
        <w:pStyle w:val="THFBodytext"/>
        <w:pBdr>
          <w:bottom w:val="single" w:sz="4" w:space="1" w:color="auto"/>
        </w:pBdr>
      </w:pPr>
    </w:p>
    <w:p w14:paraId="6F589EDE" w14:textId="1824FA95" w:rsidR="000E1BB6" w:rsidRDefault="000E1BB6" w:rsidP="00A57DB4">
      <w:pPr>
        <w:pStyle w:val="THFBodytext"/>
        <w:rPr>
          <w:sz w:val="18"/>
          <w:szCs w:val="18"/>
        </w:rPr>
      </w:pPr>
    </w:p>
    <w:p w14:paraId="5DADD841" w14:textId="714E234E" w:rsidR="00644A3D" w:rsidRDefault="00644A3D" w:rsidP="00A57DB4">
      <w:pPr>
        <w:pStyle w:val="THFBodytext"/>
        <w:rPr>
          <w:sz w:val="18"/>
          <w:szCs w:val="18"/>
        </w:rPr>
      </w:pPr>
    </w:p>
    <w:p w14:paraId="5DAD648A" w14:textId="5C8BF313" w:rsidR="00644A3D" w:rsidRDefault="00644A3D" w:rsidP="00A57DB4">
      <w:pPr>
        <w:pStyle w:val="THFBodytext"/>
        <w:rPr>
          <w:sz w:val="18"/>
          <w:szCs w:val="18"/>
        </w:rPr>
      </w:pPr>
    </w:p>
    <w:p w14:paraId="7FF905CD" w14:textId="2BC1DCD4" w:rsidR="00644A3D" w:rsidRDefault="00644A3D" w:rsidP="00A57DB4">
      <w:pPr>
        <w:pStyle w:val="THFBodytext"/>
        <w:rPr>
          <w:sz w:val="18"/>
          <w:szCs w:val="18"/>
        </w:rPr>
      </w:pPr>
    </w:p>
    <w:p w14:paraId="4741811D" w14:textId="78B04F84" w:rsidR="00644A3D" w:rsidRDefault="00644A3D" w:rsidP="00A57DB4">
      <w:pPr>
        <w:pStyle w:val="THFBodytext"/>
        <w:rPr>
          <w:sz w:val="18"/>
          <w:szCs w:val="18"/>
        </w:rPr>
      </w:pPr>
    </w:p>
    <w:p w14:paraId="1EE76A86" w14:textId="3CFAC042" w:rsidR="00644A3D" w:rsidRDefault="00644A3D" w:rsidP="00A57DB4">
      <w:pPr>
        <w:pStyle w:val="THFBodytext"/>
        <w:rPr>
          <w:sz w:val="18"/>
          <w:szCs w:val="18"/>
        </w:rPr>
      </w:pPr>
    </w:p>
    <w:p w14:paraId="7AAE7EA3" w14:textId="316E4AC9" w:rsidR="00644A3D" w:rsidRDefault="00644A3D" w:rsidP="00A57DB4">
      <w:pPr>
        <w:pStyle w:val="THFBodytext"/>
        <w:rPr>
          <w:sz w:val="18"/>
          <w:szCs w:val="18"/>
        </w:rPr>
      </w:pPr>
    </w:p>
    <w:p w14:paraId="6F37C846" w14:textId="26AC6F5B" w:rsidR="00644A3D" w:rsidRDefault="00644A3D" w:rsidP="00A57DB4">
      <w:pPr>
        <w:pStyle w:val="THFBodytext"/>
        <w:rPr>
          <w:sz w:val="18"/>
          <w:szCs w:val="18"/>
        </w:rPr>
      </w:pPr>
    </w:p>
    <w:p w14:paraId="4038B094" w14:textId="39AC0656" w:rsidR="00644A3D" w:rsidRDefault="00644A3D" w:rsidP="00A57DB4">
      <w:pPr>
        <w:pStyle w:val="THFBodytext"/>
        <w:rPr>
          <w:sz w:val="18"/>
          <w:szCs w:val="18"/>
        </w:rPr>
      </w:pPr>
    </w:p>
    <w:p w14:paraId="177BEB3C" w14:textId="6028DB6A" w:rsidR="00644A3D" w:rsidRDefault="00644A3D" w:rsidP="00A57DB4">
      <w:pPr>
        <w:pStyle w:val="THFBodytext"/>
        <w:rPr>
          <w:sz w:val="18"/>
          <w:szCs w:val="18"/>
        </w:rPr>
      </w:pPr>
    </w:p>
    <w:p w14:paraId="1A765CBC" w14:textId="08DDEB62" w:rsidR="00644A3D" w:rsidRDefault="00644A3D" w:rsidP="00A57DB4">
      <w:pPr>
        <w:pStyle w:val="THFBodytext"/>
        <w:rPr>
          <w:sz w:val="18"/>
          <w:szCs w:val="18"/>
        </w:rPr>
      </w:pPr>
    </w:p>
    <w:p w14:paraId="449BCEF7" w14:textId="77777777" w:rsidR="00644A3D" w:rsidRDefault="00644A3D" w:rsidP="00A57DB4">
      <w:pPr>
        <w:pStyle w:val="THFBodytext"/>
        <w:rPr>
          <w:sz w:val="18"/>
          <w:szCs w:val="18"/>
        </w:rPr>
      </w:pPr>
    </w:p>
    <w:p w14:paraId="5000313D" w14:textId="77777777" w:rsidR="00770723" w:rsidRPr="00A57DB4" w:rsidRDefault="00770723" w:rsidP="00A57DB4">
      <w:pPr>
        <w:pStyle w:val="Heading2"/>
      </w:pPr>
      <w:bookmarkStart w:id="2" w:name="_Toc5100034"/>
      <w:r w:rsidRPr="00A57DB4">
        <w:lastRenderedPageBreak/>
        <w:t xml:space="preserve">Part 1: </w:t>
      </w:r>
      <w:r w:rsidR="003C2C35" w:rsidRPr="00A57DB4">
        <w:t>Abstract</w:t>
      </w:r>
      <w:bookmarkEnd w:id="2"/>
    </w:p>
    <w:tbl>
      <w:tblPr>
        <w:tblStyle w:val="TableGrid"/>
        <w:tblW w:w="0" w:type="auto"/>
        <w:tblBorders>
          <w:top w:val="single" w:sz="4" w:space="0" w:color="DD0031"/>
          <w:left w:val="single" w:sz="4" w:space="0" w:color="DD0031"/>
          <w:bottom w:val="single" w:sz="4" w:space="0" w:color="DD0031"/>
          <w:right w:val="single" w:sz="4" w:space="0" w:color="DD0031"/>
          <w:insideH w:val="single" w:sz="4" w:space="0" w:color="DD0031"/>
          <w:insideV w:val="single" w:sz="4" w:space="0" w:color="DD0031"/>
        </w:tblBorders>
        <w:tblCellMar>
          <w:top w:w="57" w:type="dxa"/>
        </w:tblCellMar>
        <w:tblLook w:val="04A0" w:firstRow="1" w:lastRow="0" w:firstColumn="1" w:lastColumn="0" w:noHBand="0" w:noVBand="1"/>
      </w:tblPr>
      <w:tblGrid>
        <w:gridCol w:w="9242"/>
      </w:tblGrid>
      <w:tr w:rsidR="005C02C3" w14:paraId="66B48A15" w14:textId="77777777" w:rsidTr="005C02C3">
        <w:tc>
          <w:tcPr>
            <w:tcW w:w="9242" w:type="dxa"/>
          </w:tcPr>
          <w:p w14:paraId="50748A03" w14:textId="2F1D1398" w:rsidR="00BB59A8" w:rsidRPr="00BB59A8" w:rsidRDefault="00BB59A8" w:rsidP="00BB59A8">
            <w:pPr>
              <w:pStyle w:val="PlainText"/>
              <w:rPr>
                <w:rFonts w:asciiTheme="minorHAnsi" w:hAnsiTheme="minorHAnsi" w:cstheme="minorHAnsi"/>
                <w:sz w:val="24"/>
                <w:szCs w:val="24"/>
              </w:rPr>
            </w:pPr>
            <w:r w:rsidRPr="00BB59A8">
              <w:rPr>
                <w:rFonts w:asciiTheme="minorHAnsi" w:hAnsiTheme="minorHAnsi" w:cstheme="minorHAnsi"/>
                <w:sz w:val="24"/>
                <w:szCs w:val="24"/>
              </w:rPr>
              <w:t xml:space="preserve">1 in 2 people with a history of heroin smoking have COPD. These patients have excellent attendance rates at substance misuse clinics but often do not engage well with primary care. </w:t>
            </w:r>
          </w:p>
          <w:p w14:paraId="21DF651E" w14:textId="77777777" w:rsidR="00BB59A8" w:rsidRPr="00BB59A8" w:rsidRDefault="00BB59A8" w:rsidP="00BB59A8">
            <w:pPr>
              <w:pStyle w:val="PlainText"/>
              <w:rPr>
                <w:rFonts w:asciiTheme="minorHAnsi" w:hAnsiTheme="minorHAnsi" w:cstheme="minorHAnsi"/>
                <w:sz w:val="24"/>
                <w:szCs w:val="24"/>
              </w:rPr>
            </w:pPr>
          </w:p>
          <w:p w14:paraId="1236E314" w14:textId="4754D5B2" w:rsidR="00BB59A8" w:rsidRPr="00BB59A8" w:rsidRDefault="00BB59A8" w:rsidP="00BB59A8">
            <w:pPr>
              <w:pStyle w:val="PlainText"/>
              <w:rPr>
                <w:rFonts w:asciiTheme="minorHAnsi" w:hAnsiTheme="minorHAnsi" w:cstheme="minorHAnsi"/>
                <w:sz w:val="24"/>
                <w:szCs w:val="24"/>
              </w:rPr>
            </w:pPr>
            <w:r w:rsidRPr="00BB59A8">
              <w:rPr>
                <w:rFonts w:asciiTheme="minorHAnsi" w:hAnsiTheme="minorHAnsi" w:cstheme="minorHAnsi"/>
                <w:sz w:val="24"/>
                <w:szCs w:val="24"/>
              </w:rPr>
              <w:t>No previous work has been</w:t>
            </w:r>
            <w:r w:rsidR="00FE0E4E">
              <w:rPr>
                <w:rFonts w:asciiTheme="minorHAnsi" w:hAnsiTheme="minorHAnsi" w:cstheme="minorHAnsi"/>
                <w:sz w:val="24"/>
                <w:szCs w:val="24"/>
              </w:rPr>
              <w:t xml:space="preserve"> done to tie together COPD and s</w:t>
            </w:r>
            <w:r w:rsidRPr="00BB59A8">
              <w:rPr>
                <w:rFonts w:asciiTheme="minorHAnsi" w:hAnsiTheme="minorHAnsi" w:cstheme="minorHAnsi"/>
                <w:sz w:val="24"/>
                <w:szCs w:val="24"/>
              </w:rPr>
              <w:t>ubst</w:t>
            </w:r>
            <w:r w:rsidR="006E0355">
              <w:rPr>
                <w:rFonts w:asciiTheme="minorHAnsi" w:hAnsiTheme="minorHAnsi" w:cstheme="minorHAnsi"/>
                <w:sz w:val="24"/>
                <w:szCs w:val="24"/>
              </w:rPr>
              <w:t xml:space="preserve">ance misuse management. We </w:t>
            </w:r>
            <w:r w:rsidRPr="00BB59A8">
              <w:rPr>
                <w:rFonts w:asciiTheme="minorHAnsi" w:hAnsiTheme="minorHAnsi" w:cstheme="minorHAnsi"/>
                <w:sz w:val="24"/>
                <w:szCs w:val="24"/>
              </w:rPr>
              <w:t>facilitate</w:t>
            </w:r>
            <w:r w:rsidR="006E0355">
              <w:rPr>
                <w:rFonts w:asciiTheme="minorHAnsi" w:hAnsiTheme="minorHAnsi" w:cstheme="minorHAnsi"/>
                <w:sz w:val="24"/>
                <w:szCs w:val="24"/>
              </w:rPr>
              <w:t>d</w:t>
            </w:r>
            <w:r w:rsidRPr="00BB59A8">
              <w:rPr>
                <w:rFonts w:asciiTheme="minorHAnsi" w:hAnsiTheme="minorHAnsi" w:cstheme="minorHAnsi"/>
                <w:sz w:val="24"/>
                <w:szCs w:val="24"/>
              </w:rPr>
              <w:t xml:space="preserve"> access to community based COPD clinics for 159 Addaction substance misuse clinic clients with COPD. We plan to </w:t>
            </w:r>
            <w:r w:rsidR="00FE0E4E">
              <w:rPr>
                <w:rFonts w:asciiTheme="minorHAnsi" w:hAnsiTheme="minorHAnsi" w:cstheme="minorHAnsi"/>
                <w:sz w:val="24"/>
                <w:szCs w:val="24"/>
              </w:rPr>
              <w:t xml:space="preserve">deliver </w:t>
            </w:r>
            <w:r w:rsidRPr="00BB59A8">
              <w:rPr>
                <w:rFonts w:asciiTheme="minorHAnsi" w:hAnsiTheme="minorHAnsi" w:cstheme="minorHAnsi"/>
                <w:sz w:val="24"/>
                <w:szCs w:val="24"/>
              </w:rPr>
              <w:t>further qualitative work to gain insight into participants’ perceptions of our work.</w:t>
            </w:r>
          </w:p>
          <w:p w14:paraId="5EB22C10" w14:textId="77777777" w:rsidR="00BB59A8" w:rsidRPr="00BB59A8" w:rsidRDefault="00BB59A8" w:rsidP="00BB59A8">
            <w:pPr>
              <w:pStyle w:val="PlainText"/>
              <w:rPr>
                <w:rFonts w:asciiTheme="minorHAnsi" w:hAnsiTheme="minorHAnsi" w:cstheme="minorHAnsi"/>
                <w:sz w:val="24"/>
                <w:szCs w:val="24"/>
              </w:rPr>
            </w:pPr>
          </w:p>
          <w:p w14:paraId="617B47E4" w14:textId="1F63BE6D" w:rsidR="002E34DA" w:rsidRDefault="00FE0E4E" w:rsidP="00BB59A8">
            <w:pPr>
              <w:pStyle w:val="PlainText"/>
              <w:rPr>
                <w:rFonts w:asciiTheme="minorHAnsi" w:hAnsiTheme="minorHAnsi" w:cstheme="minorHAnsi"/>
                <w:sz w:val="24"/>
                <w:szCs w:val="24"/>
              </w:rPr>
            </w:pPr>
            <w:r>
              <w:rPr>
                <w:rFonts w:asciiTheme="minorHAnsi" w:hAnsiTheme="minorHAnsi" w:cstheme="minorHAnsi"/>
                <w:sz w:val="24"/>
                <w:szCs w:val="24"/>
              </w:rPr>
              <w:t>A</w:t>
            </w:r>
            <w:r w:rsidR="00BB59A8" w:rsidRPr="00BB59A8">
              <w:rPr>
                <w:rFonts w:asciiTheme="minorHAnsi" w:hAnsiTheme="minorHAnsi" w:cstheme="minorHAnsi"/>
                <w:sz w:val="24"/>
                <w:szCs w:val="24"/>
              </w:rPr>
              <w:t xml:space="preserve">ll patients </w:t>
            </w:r>
            <w:r>
              <w:rPr>
                <w:rFonts w:asciiTheme="minorHAnsi" w:hAnsiTheme="minorHAnsi" w:cstheme="minorHAnsi"/>
                <w:sz w:val="24"/>
                <w:szCs w:val="24"/>
              </w:rPr>
              <w:t xml:space="preserve">received written </w:t>
            </w:r>
            <w:r w:rsidR="00BB59A8" w:rsidRPr="00BB59A8">
              <w:rPr>
                <w:rFonts w:asciiTheme="minorHAnsi" w:hAnsiTheme="minorHAnsi" w:cstheme="minorHAnsi"/>
                <w:sz w:val="24"/>
                <w:szCs w:val="24"/>
              </w:rPr>
              <w:t>COPD</w:t>
            </w:r>
            <w:r w:rsidR="002E34DA">
              <w:rPr>
                <w:rFonts w:asciiTheme="minorHAnsi" w:hAnsiTheme="minorHAnsi" w:cstheme="minorHAnsi"/>
                <w:sz w:val="24"/>
                <w:szCs w:val="24"/>
              </w:rPr>
              <w:t xml:space="preserve"> information, </w:t>
            </w:r>
            <w:r>
              <w:rPr>
                <w:rFonts w:asciiTheme="minorHAnsi" w:hAnsiTheme="minorHAnsi" w:cstheme="minorHAnsi"/>
                <w:sz w:val="24"/>
                <w:szCs w:val="24"/>
              </w:rPr>
              <w:t xml:space="preserve">were signposted  </w:t>
            </w:r>
            <w:r w:rsidR="00BB59A8" w:rsidRPr="00BB59A8">
              <w:rPr>
                <w:rFonts w:asciiTheme="minorHAnsi" w:hAnsiTheme="minorHAnsi" w:cstheme="minorHAnsi"/>
                <w:sz w:val="24"/>
                <w:szCs w:val="24"/>
              </w:rPr>
              <w:t xml:space="preserve">to on-site Stop Smoking support </w:t>
            </w:r>
            <w:r w:rsidR="002E34DA">
              <w:rPr>
                <w:rFonts w:asciiTheme="minorHAnsi" w:hAnsiTheme="minorHAnsi" w:cstheme="minorHAnsi"/>
                <w:sz w:val="24"/>
                <w:szCs w:val="24"/>
              </w:rPr>
              <w:t xml:space="preserve">and </w:t>
            </w:r>
            <w:r>
              <w:rPr>
                <w:rFonts w:asciiTheme="minorHAnsi" w:hAnsiTheme="minorHAnsi" w:cstheme="minorHAnsi"/>
                <w:sz w:val="24"/>
                <w:szCs w:val="24"/>
              </w:rPr>
              <w:t xml:space="preserve">were offered </w:t>
            </w:r>
            <w:r w:rsidR="00BB59A8" w:rsidRPr="00BB59A8">
              <w:rPr>
                <w:rFonts w:asciiTheme="minorHAnsi" w:hAnsiTheme="minorHAnsi" w:cstheme="minorHAnsi"/>
                <w:sz w:val="24"/>
                <w:szCs w:val="24"/>
              </w:rPr>
              <w:t>facil</w:t>
            </w:r>
            <w:r w:rsidR="002E34DA">
              <w:rPr>
                <w:rFonts w:asciiTheme="minorHAnsi" w:hAnsiTheme="minorHAnsi" w:cstheme="minorHAnsi"/>
                <w:sz w:val="24"/>
                <w:szCs w:val="24"/>
              </w:rPr>
              <w:t>itated primary care appointment booking</w:t>
            </w:r>
          </w:p>
          <w:p w14:paraId="7EEE436C" w14:textId="77777777" w:rsidR="002E34DA" w:rsidRDefault="002E34DA" w:rsidP="00BB59A8">
            <w:pPr>
              <w:pStyle w:val="PlainText"/>
              <w:rPr>
                <w:rFonts w:asciiTheme="minorHAnsi" w:hAnsiTheme="minorHAnsi" w:cstheme="minorHAnsi"/>
                <w:sz w:val="24"/>
                <w:szCs w:val="24"/>
              </w:rPr>
            </w:pPr>
          </w:p>
          <w:p w14:paraId="74514BAF" w14:textId="14522571" w:rsidR="00BB59A8" w:rsidRPr="00BB59A8" w:rsidRDefault="002E34DA" w:rsidP="00BB59A8">
            <w:pPr>
              <w:pStyle w:val="PlainText"/>
              <w:rPr>
                <w:rFonts w:asciiTheme="minorHAnsi" w:hAnsiTheme="minorHAnsi" w:cstheme="minorHAnsi"/>
                <w:sz w:val="24"/>
                <w:szCs w:val="24"/>
              </w:rPr>
            </w:pPr>
            <w:r>
              <w:rPr>
                <w:rFonts w:asciiTheme="minorHAnsi" w:hAnsiTheme="minorHAnsi" w:cstheme="minorHAnsi"/>
                <w:sz w:val="24"/>
                <w:szCs w:val="24"/>
              </w:rPr>
              <w:t xml:space="preserve">Sub-groups had additional, </w:t>
            </w:r>
            <w:r w:rsidR="00BB59A8" w:rsidRPr="00BB59A8">
              <w:rPr>
                <w:rFonts w:asciiTheme="minorHAnsi" w:hAnsiTheme="minorHAnsi" w:cstheme="minorHAnsi"/>
                <w:sz w:val="24"/>
                <w:szCs w:val="24"/>
              </w:rPr>
              <w:t>more intensive interventions including Pulmonary Rehabilitation (PR) and on-site Community Respiratory Team (CRT) nurse COPD optimisation revie</w:t>
            </w:r>
            <w:r>
              <w:rPr>
                <w:rFonts w:asciiTheme="minorHAnsi" w:hAnsiTheme="minorHAnsi" w:cstheme="minorHAnsi"/>
                <w:sz w:val="24"/>
                <w:szCs w:val="24"/>
              </w:rPr>
              <w:t>w</w:t>
            </w:r>
            <w:r w:rsidR="00BB59A8" w:rsidRPr="00BB59A8">
              <w:rPr>
                <w:rFonts w:asciiTheme="minorHAnsi" w:hAnsiTheme="minorHAnsi" w:cstheme="minorHAnsi"/>
                <w:sz w:val="24"/>
                <w:szCs w:val="24"/>
              </w:rPr>
              <w:t>.</w:t>
            </w:r>
          </w:p>
          <w:p w14:paraId="6DD16BA9" w14:textId="77777777" w:rsidR="00BB59A8" w:rsidRPr="00BB59A8" w:rsidRDefault="00BB59A8" w:rsidP="00BB59A8">
            <w:pPr>
              <w:pStyle w:val="PlainText"/>
              <w:rPr>
                <w:rFonts w:asciiTheme="minorHAnsi" w:hAnsiTheme="minorHAnsi" w:cstheme="minorHAnsi"/>
                <w:sz w:val="24"/>
                <w:szCs w:val="24"/>
              </w:rPr>
            </w:pPr>
          </w:p>
          <w:p w14:paraId="161C329A" w14:textId="08E55810" w:rsidR="00BB59A8" w:rsidRPr="00BB59A8" w:rsidRDefault="00C50463" w:rsidP="00BB59A8">
            <w:pPr>
              <w:pStyle w:val="PlainText"/>
              <w:rPr>
                <w:rFonts w:asciiTheme="minorHAnsi" w:hAnsiTheme="minorHAnsi" w:cstheme="minorHAnsi"/>
                <w:sz w:val="24"/>
                <w:szCs w:val="24"/>
              </w:rPr>
            </w:pPr>
            <w:r>
              <w:rPr>
                <w:rFonts w:asciiTheme="minorHAnsi" w:hAnsiTheme="minorHAnsi" w:cstheme="minorHAnsi"/>
                <w:sz w:val="24"/>
                <w:szCs w:val="24"/>
              </w:rPr>
              <w:t>C</w:t>
            </w:r>
            <w:r w:rsidR="00BB59A8" w:rsidRPr="00BB59A8">
              <w:rPr>
                <w:rFonts w:asciiTheme="minorHAnsi" w:hAnsiTheme="minorHAnsi" w:cstheme="minorHAnsi"/>
                <w:sz w:val="24"/>
                <w:szCs w:val="24"/>
              </w:rPr>
              <w:t xml:space="preserve">ohorting </w:t>
            </w:r>
            <w:r w:rsidR="002E34DA">
              <w:rPr>
                <w:rFonts w:asciiTheme="minorHAnsi" w:hAnsiTheme="minorHAnsi" w:cstheme="minorHAnsi"/>
                <w:sz w:val="24"/>
                <w:szCs w:val="24"/>
              </w:rPr>
              <w:t xml:space="preserve">COPD </w:t>
            </w:r>
            <w:r w:rsidR="00BB59A8" w:rsidRPr="00BB59A8">
              <w:rPr>
                <w:rFonts w:asciiTheme="minorHAnsi" w:hAnsiTheme="minorHAnsi" w:cstheme="minorHAnsi"/>
                <w:sz w:val="24"/>
                <w:szCs w:val="24"/>
              </w:rPr>
              <w:t xml:space="preserve">patients </w:t>
            </w:r>
            <w:r w:rsidR="002E34DA">
              <w:rPr>
                <w:rFonts w:asciiTheme="minorHAnsi" w:hAnsiTheme="minorHAnsi" w:cstheme="minorHAnsi"/>
                <w:sz w:val="24"/>
                <w:szCs w:val="24"/>
              </w:rPr>
              <w:t xml:space="preserve">and </w:t>
            </w:r>
            <w:r>
              <w:rPr>
                <w:rFonts w:asciiTheme="minorHAnsi" w:hAnsiTheme="minorHAnsi" w:cstheme="minorHAnsi"/>
                <w:sz w:val="24"/>
                <w:szCs w:val="24"/>
              </w:rPr>
              <w:t xml:space="preserve">accessing </w:t>
            </w:r>
            <w:r w:rsidR="002E34DA">
              <w:rPr>
                <w:rFonts w:asciiTheme="minorHAnsi" w:hAnsiTheme="minorHAnsi" w:cstheme="minorHAnsi"/>
                <w:sz w:val="24"/>
                <w:szCs w:val="24"/>
              </w:rPr>
              <w:t>primary care records system</w:t>
            </w:r>
            <w:r>
              <w:rPr>
                <w:rFonts w:asciiTheme="minorHAnsi" w:hAnsiTheme="minorHAnsi" w:cstheme="minorHAnsi"/>
                <w:sz w:val="24"/>
                <w:szCs w:val="24"/>
              </w:rPr>
              <w:t xml:space="preserve"> proved</w:t>
            </w:r>
            <w:r w:rsidR="006E0355">
              <w:rPr>
                <w:rFonts w:asciiTheme="minorHAnsi" w:hAnsiTheme="minorHAnsi" w:cstheme="minorHAnsi"/>
                <w:sz w:val="24"/>
                <w:szCs w:val="24"/>
              </w:rPr>
              <w:t xml:space="preserve"> difficult. T</w:t>
            </w:r>
            <w:r w:rsidR="00BB59A8" w:rsidRPr="00BB59A8">
              <w:rPr>
                <w:rFonts w:asciiTheme="minorHAnsi" w:hAnsiTheme="minorHAnsi" w:cstheme="minorHAnsi"/>
                <w:sz w:val="24"/>
                <w:szCs w:val="24"/>
              </w:rPr>
              <w:t xml:space="preserve">he enthusiasm of </w:t>
            </w:r>
            <w:r w:rsidR="006E0355">
              <w:rPr>
                <w:rFonts w:asciiTheme="minorHAnsi" w:hAnsiTheme="minorHAnsi" w:cstheme="minorHAnsi"/>
                <w:sz w:val="24"/>
                <w:szCs w:val="24"/>
              </w:rPr>
              <w:t xml:space="preserve">our </w:t>
            </w:r>
            <w:r w:rsidR="00BB59A8" w:rsidRPr="00BB59A8">
              <w:rPr>
                <w:rFonts w:asciiTheme="minorHAnsi" w:hAnsiTheme="minorHAnsi" w:cstheme="minorHAnsi"/>
                <w:sz w:val="24"/>
                <w:szCs w:val="24"/>
              </w:rPr>
              <w:t>patient rep</w:t>
            </w:r>
            <w:r w:rsidR="006E0355">
              <w:rPr>
                <w:rFonts w:asciiTheme="minorHAnsi" w:hAnsiTheme="minorHAnsi" w:cstheme="minorHAnsi"/>
                <w:sz w:val="24"/>
                <w:szCs w:val="24"/>
              </w:rPr>
              <w:t>resentative, steering group and t</w:t>
            </w:r>
            <w:r w:rsidR="00BB59A8" w:rsidRPr="00BB59A8">
              <w:rPr>
                <w:rFonts w:asciiTheme="minorHAnsi" w:hAnsiTheme="minorHAnsi" w:cstheme="minorHAnsi"/>
                <w:sz w:val="24"/>
                <w:szCs w:val="24"/>
              </w:rPr>
              <w:t>he staff deliverin</w:t>
            </w:r>
            <w:r w:rsidR="006E0355">
              <w:rPr>
                <w:rFonts w:asciiTheme="minorHAnsi" w:hAnsiTheme="minorHAnsi" w:cstheme="minorHAnsi"/>
                <w:sz w:val="24"/>
                <w:szCs w:val="24"/>
              </w:rPr>
              <w:t>g the intervention were our key enablers.</w:t>
            </w:r>
          </w:p>
          <w:p w14:paraId="52CDE954" w14:textId="77777777" w:rsidR="00BB59A8" w:rsidRDefault="00BB59A8" w:rsidP="00BB59A8">
            <w:pPr>
              <w:pStyle w:val="PlainText"/>
              <w:rPr>
                <w:rFonts w:asciiTheme="minorHAnsi" w:hAnsiTheme="minorHAnsi" w:cstheme="minorHAnsi"/>
                <w:sz w:val="24"/>
                <w:szCs w:val="24"/>
              </w:rPr>
            </w:pPr>
          </w:p>
          <w:p w14:paraId="1F12B6A0" w14:textId="0163423B" w:rsidR="00BB59A8" w:rsidRDefault="00FE0E4E" w:rsidP="00BB59A8">
            <w:pPr>
              <w:pStyle w:val="PlainText"/>
              <w:rPr>
                <w:rFonts w:asciiTheme="minorHAnsi" w:hAnsiTheme="minorHAnsi" w:cstheme="minorHAnsi"/>
                <w:sz w:val="24"/>
                <w:szCs w:val="24"/>
              </w:rPr>
            </w:pPr>
            <w:r>
              <w:rPr>
                <w:rFonts w:asciiTheme="minorHAnsi" w:hAnsiTheme="minorHAnsi" w:cstheme="minorHAnsi"/>
                <w:sz w:val="24"/>
                <w:szCs w:val="24"/>
              </w:rPr>
              <w:t xml:space="preserve">Our project </w:t>
            </w:r>
            <w:r w:rsidR="00BB59A8">
              <w:rPr>
                <w:rFonts w:asciiTheme="minorHAnsi" w:hAnsiTheme="minorHAnsi" w:cstheme="minorHAnsi"/>
                <w:sz w:val="24"/>
                <w:szCs w:val="24"/>
              </w:rPr>
              <w:t>led to go</w:t>
            </w:r>
            <w:r>
              <w:rPr>
                <w:rFonts w:asciiTheme="minorHAnsi" w:hAnsiTheme="minorHAnsi" w:cstheme="minorHAnsi"/>
                <w:sz w:val="24"/>
                <w:szCs w:val="24"/>
              </w:rPr>
              <w:t xml:space="preserve">od uptake of primary care COPD consultations, increase in secondary care attendances and excellent uptake of CRT nurse support. PR and Stop Smoking uptake was, however, poor. </w:t>
            </w:r>
          </w:p>
          <w:p w14:paraId="2BF4D498" w14:textId="77777777" w:rsidR="00BB59A8" w:rsidRPr="00BB59A8" w:rsidRDefault="00BB59A8" w:rsidP="00BB59A8">
            <w:pPr>
              <w:pStyle w:val="PlainText"/>
              <w:rPr>
                <w:rFonts w:asciiTheme="minorHAnsi" w:hAnsiTheme="minorHAnsi" w:cstheme="minorHAnsi"/>
                <w:sz w:val="24"/>
                <w:szCs w:val="24"/>
              </w:rPr>
            </w:pPr>
          </w:p>
          <w:p w14:paraId="5909C417" w14:textId="6D5C8984" w:rsidR="005C02C3" w:rsidRPr="002E34DA" w:rsidRDefault="00BB59A8" w:rsidP="002E34DA">
            <w:pPr>
              <w:pStyle w:val="PlainText"/>
              <w:rPr>
                <w:rFonts w:asciiTheme="minorHAnsi" w:hAnsiTheme="minorHAnsi" w:cstheme="minorHAnsi"/>
                <w:sz w:val="24"/>
                <w:szCs w:val="24"/>
              </w:rPr>
            </w:pPr>
            <w:r w:rsidRPr="00BB59A8">
              <w:rPr>
                <w:rFonts w:asciiTheme="minorHAnsi" w:hAnsiTheme="minorHAnsi" w:cstheme="minorHAnsi"/>
                <w:sz w:val="24"/>
                <w:szCs w:val="24"/>
              </w:rPr>
              <w:t xml:space="preserve">The posters that we have designed as part of this project will be displayed at Addaction clinics locally and be available for substance misuse clinics nationally. They will highlight the </w:t>
            </w:r>
            <w:r w:rsidR="00C50463" w:rsidRPr="00BB59A8">
              <w:rPr>
                <w:rFonts w:asciiTheme="minorHAnsi" w:hAnsiTheme="minorHAnsi" w:cstheme="minorHAnsi"/>
                <w:sz w:val="24"/>
                <w:szCs w:val="24"/>
              </w:rPr>
              <w:t>prevalence</w:t>
            </w:r>
            <w:r w:rsidRPr="00BB59A8">
              <w:rPr>
                <w:rFonts w:asciiTheme="minorHAnsi" w:hAnsiTheme="minorHAnsi" w:cstheme="minorHAnsi"/>
                <w:sz w:val="24"/>
                <w:szCs w:val="24"/>
              </w:rPr>
              <w:t xml:space="preserve"> of COPD in people with a history of heroin smoking and the fact that treatment works. The CRT nurses will continue to provide on-site optimisation to patients with COPD at their substance misuse clinics.</w:t>
            </w:r>
          </w:p>
        </w:tc>
      </w:tr>
    </w:tbl>
    <w:p w14:paraId="37223EC4" w14:textId="77777777" w:rsidR="005C02C3" w:rsidRPr="005C02C3" w:rsidRDefault="005C02C3" w:rsidP="005C02C3">
      <w:pPr>
        <w:pStyle w:val="THFBodytext"/>
      </w:pPr>
    </w:p>
    <w:p w14:paraId="37CEB7B3" w14:textId="77777777" w:rsidR="00C93313" w:rsidRDefault="00C93313">
      <w:pPr>
        <w:rPr>
          <w:rFonts w:ascii="Arial" w:eastAsia="Georgia" w:hAnsi="Arial" w:cs="Arial"/>
          <w:b/>
          <w:bCs/>
          <w:color w:val="000000" w:themeColor="text1"/>
          <w:sz w:val="24"/>
          <w:szCs w:val="24"/>
        </w:rPr>
      </w:pPr>
      <w:r>
        <w:br w:type="page"/>
      </w:r>
    </w:p>
    <w:p w14:paraId="106A2758" w14:textId="77777777" w:rsidR="00770723" w:rsidRPr="000919DD" w:rsidRDefault="00770723" w:rsidP="00A57DB4">
      <w:pPr>
        <w:pStyle w:val="Heading2"/>
      </w:pPr>
      <w:bookmarkStart w:id="3" w:name="_Toc5100035"/>
      <w:r w:rsidRPr="000919DD">
        <w:lastRenderedPageBreak/>
        <w:t xml:space="preserve">Part 2: </w:t>
      </w:r>
      <w:r w:rsidR="005325CC" w:rsidRPr="000919DD">
        <w:t>Progress and outcomes</w:t>
      </w:r>
      <w:bookmarkEnd w:id="3"/>
      <w:r w:rsidRPr="000919DD">
        <w:t xml:space="preserve"> </w:t>
      </w:r>
    </w:p>
    <w:tbl>
      <w:tblPr>
        <w:tblStyle w:val="TableGrid"/>
        <w:tblW w:w="0" w:type="auto"/>
        <w:tblBorders>
          <w:top w:val="single" w:sz="4" w:space="0" w:color="DD0031"/>
          <w:left w:val="single" w:sz="4" w:space="0" w:color="DD0031"/>
          <w:bottom w:val="single" w:sz="4" w:space="0" w:color="DD0031"/>
          <w:right w:val="single" w:sz="4" w:space="0" w:color="DD0031"/>
          <w:insideH w:val="single" w:sz="4" w:space="0" w:color="DD0031"/>
          <w:insideV w:val="single" w:sz="4" w:space="0" w:color="DD0031"/>
        </w:tblBorders>
        <w:tblCellMar>
          <w:top w:w="57" w:type="dxa"/>
        </w:tblCellMar>
        <w:tblLook w:val="04A0" w:firstRow="1" w:lastRow="0" w:firstColumn="1" w:lastColumn="0" w:noHBand="0" w:noVBand="1"/>
      </w:tblPr>
      <w:tblGrid>
        <w:gridCol w:w="9242"/>
      </w:tblGrid>
      <w:tr w:rsidR="005C02C3" w14:paraId="30CECF41" w14:textId="77777777" w:rsidTr="005C02C3">
        <w:tc>
          <w:tcPr>
            <w:tcW w:w="9242" w:type="dxa"/>
          </w:tcPr>
          <w:p w14:paraId="6F4DB1EA" w14:textId="77777777" w:rsidR="00AF6A75" w:rsidRDefault="00F22E27" w:rsidP="00FE0E4E">
            <w:pPr>
              <w:pStyle w:val="THFHeadinglevel1"/>
              <w:spacing w:line="240" w:lineRule="auto"/>
            </w:pPr>
            <w:r>
              <w:t>T</w:t>
            </w:r>
            <w:r w:rsidR="00877363">
              <w:t>he Intervention</w:t>
            </w:r>
            <w:r w:rsidR="0025303F">
              <w:t xml:space="preserve"> </w:t>
            </w:r>
          </w:p>
          <w:p w14:paraId="7CA371D8" w14:textId="5FB9FAB3" w:rsidR="00AF6A75" w:rsidRDefault="00AF6A75" w:rsidP="00FE0E4E">
            <w:pPr>
              <w:pStyle w:val="THFHeadinglevel1"/>
              <w:spacing w:line="240" w:lineRule="auto"/>
              <w:rPr>
                <w:b w:val="0"/>
              </w:rPr>
            </w:pPr>
            <w:r>
              <w:rPr>
                <w:b w:val="0"/>
              </w:rPr>
              <w:t>Service users</w:t>
            </w:r>
            <w:r w:rsidRPr="00AF6A75">
              <w:rPr>
                <w:b w:val="0"/>
              </w:rPr>
              <w:t xml:space="preserve">’ attendance at </w:t>
            </w:r>
            <w:r>
              <w:rPr>
                <w:b w:val="0"/>
              </w:rPr>
              <w:t>s</w:t>
            </w:r>
            <w:r w:rsidRPr="00AF6A75">
              <w:rPr>
                <w:b w:val="0"/>
              </w:rPr>
              <w:t>ubstance misuse clinics is excellent in contrast to their, often poor, engagement with primary care, the traditional route to accessing COPD management.</w:t>
            </w:r>
          </w:p>
          <w:p w14:paraId="5BB4E515" w14:textId="6A2C1EFF" w:rsidR="00E90973" w:rsidRPr="00AF6A75" w:rsidRDefault="00BB095C" w:rsidP="00AF6A75">
            <w:pPr>
              <w:pStyle w:val="THFHeadinglevel1"/>
              <w:rPr>
                <w:b w:val="0"/>
              </w:rPr>
            </w:pPr>
            <w:r w:rsidRPr="00AF6A75">
              <w:rPr>
                <w:b w:val="0"/>
              </w:rPr>
              <w:t xml:space="preserve">The team involved in the design and delivery of this project </w:t>
            </w:r>
            <w:r w:rsidR="003355FB" w:rsidRPr="00AF6A75">
              <w:rPr>
                <w:b w:val="0"/>
              </w:rPr>
              <w:t xml:space="preserve">have </w:t>
            </w:r>
            <w:r w:rsidR="0004214F" w:rsidRPr="00AF6A75">
              <w:rPr>
                <w:b w:val="0"/>
              </w:rPr>
              <w:t xml:space="preserve">previously </w:t>
            </w:r>
            <w:r w:rsidR="005D59E0" w:rsidRPr="00AF6A75">
              <w:rPr>
                <w:b w:val="0"/>
              </w:rPr>
              <w:t xml:space="preserve">completed </w:t>
            </w:r>
            <w:r w:rsidR="00272B9D" w:rsidRPr="00AF6A75">
              <w:rPr>
                <w:b w:val="0"/>
              </w:rPr>
              <w:t xml:space="preserve">the largest COPD screening study to date </w:t>
            </w:r>
            <w:r w:rsidR="00590051" w:rsidRPr="00AF6A75">
              <w:rPr>
                <w:b w:val="0"/>
              </w:rPr>
              <w:t>at</w:t>
            </w:r>
            <w:r w:rsidR="00272B9D" w:rsidRPr="00AF6A75">
              <w:rPr>
                <w:b w:val="0"/>
              </w:rPr>
              <w:t xml:space="preserve"> </w:t>
            </w:r>
            <w:r w:rsidR="00590051" w:rsidRPr="00AF6A75">
              <w:rPr>
                <w:b w:val="0"/>
              </w:rPr>
              <w:t xml:space="preserve">Addaction </w:t>
            </w:r>
            <w:r w:rsidR="00272B9D" w:rsidRPr="00AF6A75">
              <w:rPr>
                <w:b w:val="0"/>
              </w:rPr>
              <w:t xml:space="preserve">substance misuse </w:t>
            </w:r>
            <w:r w:rsidR="00401029" w:rsidRPr="00AF6A75">
              <w:rPr>
                <w:b w:val="0"/>
              </w:rPr>
              <w:t xml:space="preserve">clinics. </w:t>
            </w:r>
            <w:r w:rsidR="00DA0DEC" w:rsidRPr="00AF6A75">
              <w:rPr>
                <w:b w:val="0"/>
              </w:rPr>
              <w:t>37</w:t>
            </w:r>
            <w:r w:rsidR="00D0102D" w:rsidRPr="00AF6A75">
              <w:rPr>
                <w:b w:val="0"/>
              </w:rPr>
              <w:t>2</w:t>
            </w:r>
            <w:r w:rsidR="00DA0DEC" w:rsidRPr="00AF6A75">
              <w:rPr>
                <w:b w:val="0"/>
              </w:rPr>
              <w:t xml:space="preserve"> (</w:t>
            </w:r>
            <w:r w:rsidR="00D0102D" w:rsidRPr="00AF6A75">
              <w:rPr>
                <w:b w:val="0"/>
              </w:rPr>
              <w:t>50</w:t>
            </w:r>
            <w:r w:rsidR="00DA0DEC" w:rsidRPr="00AF6A75">
              <w:rPr>
                <w:b w:val="0"/>
              </w:rPr>
              <w:t>% of those screened) curre</w:t>
            </w:r>
            <w:r w:rsidR="00401029" w:rsidRPr="00AF6A75">
              <w:rPr>
                <w:b w:val="0"/>
              </w:rPr>
              <w:t>nt or ex-heroin smoking service users were found to have</w:t>
            </w:r>
            <w:r w:rsidR="00DA0DEC" w:rsidRPr="00AF6A75">
              <w:rPr>
                <w:b w:val="0"/>
              </w:rPr>
              <w:t xml:space="preserve"> </w:t>
            </w:r>
            <w:r w:rsidR="004A0EC3" w:rsidRPr="00AF6A75">
              <w:rPr>
                <w:b w:val="0"/>
              </w:rPr>
              <w:t xml:space="preserve">lung function compatible with </w:t>
            </w:r>
            <w:r w:rsidR="00DA0DEC" w:rsidRPr="00AF6A75">
              <w:rPr>
                <w:b w:val="0"/>
              </w:rPr>
              <w:t>COPD.</w:t>
            </w:r>
            <w:r w:rsidR="004A0EC3" w:rsidRPr="00AF6A75">
              <w:rPr>
                <w:b w:val="0"/>
              </w:rPr>
              <w:t xml:space="preserve"> </w:t>
            </w:r>
            <w:r w:rsidR="005F39C3" w:rsidRPr="00AF6A75">
              <w:rPr>
                <w:b w:val="0"/>
              </w:rPr>
              <w:t xml:space="preserve">73% of those approached </w:t>
            </w:r>
            <w:r w:rsidR="00401029" w:rsidRPr="00AF6A75">
              <w:rPr>
                <w:b w:val="0"/>
              </w:rPr>
              <w:t xml:space="preserve">taking part in </w:t>
            </w:r>
            <w:r w:rsidR="005F39C3" w:rsidRPr="00AF6A75">
              <w:rPr>
                <w:b w:val="0"/>
              </w:rPr>
              <w:t>screening</w:t>
            </w:r>
            <w:r w:rsidR="00401029" w:rsidRPr="00AF6A75">
              <w:rPr>
                <w:b w:val="0"/>
              </w:rPr>
              <w:t xml:space="preserve"> and</w:t>
            </w:r>
            <w:r w:rsidR="00B769DA" w:rsidRPr="00AF6A75">
              <w:rPr>
                <w:b w:val="0"/>
              </w:rPr>
              <w:t xml:space="preserve"> </w:t>
            </w:r>
            <w:r w:rsidR="00401029" w:rsidRPr="00AF6A75">
              <w:rPr>
                <w:b w:val="0"/>
              </w:rPr>
              <w:t>f</w:t>
            </w:r>
            <w:r w:rsidR="00BE4859" w:rsidRPr="00AF6A75">
              <w:rPr>
                <w:b w:val="0"/>
              </w:rPr>
              <w:t>eedback from clients was very positive</w:t>
            </w:r>
            <w:r w:rsidR="00401029" w:rsidRPr="00AF6A75">
              <w:rPr>
                <w:b w:val="0"/>
              </w:rPr>
              <w:t>.</w:t>
            </w:r>
          </w:p>
          <w:p w14:paraId="20B29C00" w14:textId="25145202" w:rsidR="006619F2" w:rsidRDefault="00EC5FAF" w:rsidP="000B6C92">
            <w:pPr>
              <w:pStyle w:val="THFBullettext"/>
              <w:numPr>
                <w:ilvl w:val="0"/>
                <w:numId w:val="0"/>
              </w:numPr>
              <w:spacing w:after="0"/>
            </w:pPr>
            <w:r>
              <w:t>Our</w:t>
            </w:r>
            <w:r w:rsidR="0065729F">
              <w:t xml:space="preserve"> intervention </w:t>
            </w:r>
            <w:r>
              <w:t xml:space="preserve">aimed </w:t>
            </w:r>
            <w:r w:rsidR="0065729F">
              <w:t xml:space="preserve">to </w:t>
            </w:r>
            <w:r w:rsidR="009A65A3">
              <w:t xml:space="preserve">improve the uptake of COPD treatment in this underserved population by creating a </w:t>
            </w:r>
            <w:r w:rsidR="0052597D">
              <w:t>bridge</w:t>
            </w:r>
            <w:r w:rsidR="00BE4859">
              <w:t xml:space="preserve"> between</w:t>
            </w:r>
            <w:r w:rsidR="0052597D">
              <w:t xml:space="preserve"> substance misuse clinics and </w:t>
            </w:r>
            <w:r w:rsidR="00BF5BCE">
              <w:t xml:space="preserve">current </w:t>
            </w:r>
            <w:r w:rsidR="005549F1">
              <w:t xml:space="preserve">community based COPD </w:t>
            </w:r>
            <w:r w:rsidR="009A65A3">
              <w:t>care</w:t>
            </w:r>
            <w:r w:rsidR="0052597D">
              <w:t xml:space="preserve">. </w:t>
            </w:r>
            <w:r w:rsidR="000B6C92">
              <w:t>T</w:t>
            </w:r>
            <w:r w:rsidR="006619F2">
              <w:t>he multi disciplinary</w:t>
            </w:r>
            <w:r w:rsidR="002578AF">
              <w:t xml:space="preserve"> nature</w:t>
            </w:r>
            <w:r w:rsidR="006619F2">
              <w:t xml:space="preserve"> of our team</w:t>
            </w:r>
            <w:r w:rsidR="00BE4859">
              <w:t xml:space="preserve"> with</w:t>
            </w:r>
            <w:r w:rsidR="006619F2">
              <w:t xml:space="preserve"> </w:t>
            </w:r>
            <w:r w:rsidR="00401029">
              <w:t>allowed for an</w:t>
            </w:r>
            <w:r w:rsidR="000B6C92">
              <w:t xml:space="preserve"> innovative </w:t>
            </w:r>
            <w:r w:rsidR="00401029">
              <w:t xml:space="preserve">re-configuration of </w:t>
            </w:r>
            <w:r w:rsidR="009A65A3">
              <w:t xml:space="preserve">currently commissioned </w:t>
            </w:r>
            <w:r w:rsidR="006619F2">
              <w:t xml:space="preserve">community COPD services to facilitate access for Addaction clients. </w:t>
            </w:r>
            <w:r w:rsidR="00F02849">
              <w:t xml:space="preserve">No previous work has been done to tie COPD management to substance misuse management. </w:t>
            </w:r>
          </w:p>
          <w:p w14:paraId="79253458" w14:textId="4C418630" w:rsidR="00BF5BCE" w:rsidRDefault="004E0C4B" w:rsidP="00863FB3">
            <w:pPr>
              <w:pStyle w:val="THFBullettext"/>
              <w:numPr>
                <w:ilvl w:val="0"/>
                <w:numId w:val="0"/>
              </w:numPr>
              <w:spacing w:after="0"/>
            </w:pPr>
            <w:r>
              <w:t xml:space="preserve"> </w:t>
            </w:r>
            <w:r w:rsidR="00065F70">
              <w:t xml:space="preserve"> </w:t>
            </w:r>
          </w:p>
          <w:p w14:paraId="5FD00CB8" w14:textId="11391698" w:rsidR="00DC6746" w:rsidRDefault="00C00146" w:rsidP="00077B1A">
            <w:pPr>
              <w:pStyle w:val="THFBodytext"/>
            </w:pPr>
            <w:r>
              <w:t xml:space="preserve">We </w:t>
            </w:r>
            <w:r w:rsidR="009A65A3">
              <w:t xml:space="preserve">co-ordinated </w:t>
            </w:r>
            <w:r w:rsidR="00CC5433">
              <w:t xml:space="preserve">the set up phase of </w:t>
            </w:r>
            <w:r w:rsidR="009A65A3">
              <w:t>our intervention with the</w:t>
            </w:r>
            <w:r w:rsidR="00A85398">
              <w:t xml:space="preserve"> </w:t>
            </w:r>
            <w:r w:rsidR="00CC5433">
              <w:t xml:space="preserve">pre-planned </w:t>
            </w:r>
            <w:r w:rsidR="00A85398">
              <w:t xml:space="preserve">work of a </w:t>
            </w:r>
            <w:r w:rsidR="00A32DA8">
              <w:t xml:space="preserve">PhD </w:t>
            </w:r>
            <w:r w:rsidR="00DE2190">
              <w:t>student</w:t>
            </w:r>
            <w:r w:rsidR="00A32DA8">
              <w:t xml:space="preserve"> involving repeating spirometry</w:t>
            </w:r>
            <w:r w:rsidR="00A85398">
              <w:t xml:space="preserve"> and questionnaires administered </w:t>
            </w:r>
            <w:r w:rsidR="00AD419A">
              <w:t xml:space="preserve">in our screening project. </w:t>
            </w:r>
            <w:r w:rsidR="00F44427">
              <w:t>The Addaction team leader seconded to this project worked with the</w:t>
            </w:r>
            <w:r w:rsidR="00E90973">
              <w:t xml:space="preserve"> </w:t>
            </w:r>
            <w:r w:rsidR="00F44427">
              <w:t>student to group patients with previously diagnosed COPD together to facilitate repeat spirometry and questionnaire administration as well as gaining participants’ consent to our access</w:t>
            </w:r>
            <w:r w:rsidR="001037C3">
              <w:t>ing</w:t>
            </w:r>
            <w:r w:rsidR="00F44427">
              <w:t xml:space="preserve"> their primary and secondary care records.</w:t>
            </w:r>
            <w:r w:rsidR="00DC6746">
              <w:t xml:space="preserve"> </w:t>
            </w:r>
          </w:p>
          <w:p w14:paraId="4B84DFE9" w14:textId="1C01484E" w:rsidR="00DC6746" w:rsidRDefault="00DC6746" w:rsidP="00C63454">
            <w:pPr>
              <w:pStyle w:val="THFBodytext"/>
            </w:pPr>
            <w:r>
              <w:t xml:space="preserve">159 </w:t>
            </w:r>
            <w:r w:rsidR="00EF16A3">
              <w:t xml:space="preserve">Addaction </w:t>
            </w:r>
            <w:r>
              <w:t>clients with COPD</w:t>
            </w:r>
            <w:r w:rsidR="00EF16A3">
              <w:t xml:space="preserve"> were </w:t>
            </w:r>
            <w:r w:rsidR="00314FF0">
              <w:t>consented</w:t>
            </w:r>
            <w:r w:rsidR="00EF16A3">
              <w:t>.</w:t>
            </w:r>
            <w:r w:rsidR="00E90973">
              <w:t xml:space="preserve"> Our intervention comprised:</w:t>
            </w:r>
          </w:p>
          <w:p w14:paraId="56290B52" w14:textId="68CE14B3" w:rsidR="004A4565" w:rsidRDefault="00D46DFE" w:rsidP="004A4565">
            <w:pPr>
              <w:pStyle w:val="THFBodytext"/>
              <w:numPr>
                <w:ilvl w:val="0"/>
                <w:numId w:val="29"/>
              </w:numPr>
            </w:pPr>
            <w:r w:rsidRPr="00D46DFE">
              <w:t>Providing basic written COPD information &amp; education</w:t>
            </w:r>
            <w:r w:rsidR="004A4565">
              <w:t xml:space="preserve">: All clients were provided with an information booklet about COPD and a letter detailing the aims of the project. </w:t>
            </w:r>
          </w:p>
          <w:p w14:paraId="69DF9FB1" w14:textId="419EB668" w:rsidR="004D5D4E" w:rsidRDefault="00A132FE" w:rsidP="00A132FE">
            <w:pPr>
              <w:pStyle w:val="THFBodytext"/>
              <w:numPr>
                <w:ilvl w:val="0"/>
                <w:numId w:val="29"/>
              </w:numPr>
            </w:pPr>
            <w:r w:rsidRPr="00D46DFE">
              <w:t>Arranging GP appointments for a COPD consultation, informing the patient &amp; encouraging attendance</w:t>
            </w:r>
            <w:r w:rsidR="0051308D">
              <w:t>.</w:t>
            </w:r>
            <w:r>
              <w:t xml:space="preserve"> </w:t>
            </w:r>
            <w:r w:rsidR="00E90973">
              <w:t>Primary care engagement</w:t>
            </w:r>
            <w:r w:rsidR="004F3FE4">
              <w:t xml:space="preserve">: All clients were offered this </w:t>
            </w:r>
            <w:r w:rsidR="00FC5A0C">
              <w:t>and uptake was reviewed.</w:t>
            </w:r>
            <w:r w:rsidR="00E90973">
              <w:t xml:space="preserve"> </w:t>
            </w:r>
          </w:p>
          <w:p w14:paraId="338D9D30" w14:textId="68039089" w:rsidR="00C505CD" w:rsidRDefault="00C505CD" w:rsidP="00C505CD">
            <w:pPr>
              <w:pStyle w:val="THFBodytext"/>
              <w:numPr>
                <w:ilvl w:val="0"/>
                <w:numId w:val="29"/>
              </w:numPr>
            </w:pPr>
            <w:r w:rsidRPr="00D46DFE">
              <w:t>Arranging pulmonary rehabilitation for groups of patients</w:t>
            </w:r>
            <w:r>
              <w:t xml:space="preserve">: </w:t>
            </w:r>
            <w:r w:rsidR="004F3FE4">
              <w:t>P</w:t>
            </w:r>
            <w:r>
              <w:t xml:space="preserve">atients were recruited to facilitated Pulmonary rehabilitation (PR) from three substance misuse clinic sites where PR was currently delivered &lt;500m from the Addaction clinic. The PR </w:t>
            </w:r>
            <w:r w:rsidR="00AF6A75">
              <w:t xml:space="preserve">team </w:t>
            </w:r>
            <w:r>
              <w:t>set up dedicated sessions for substance misuse clients with COPD and attended the Addaction clinics to promote PR, recruit clients and perform initial assessments. A total of 24 patients were signed up for PR.</w:t>
            </w:r>
          </w:p>
          <w:p w14:paraId="3EEDBCFD" w14:textId="6BCCB74D" w:rsidR="00383048" w:rsidRDefault="00C505CD" w:rsidP="00C004BA">
            <w:pPr>
              <w:pStyle w:val="THFBodytext"/>
              <w:numPr>
                <w:ilvl w:val="0"/>
                <w:numId w:val="29"/>
              </w:numPr>
            </w:pPr>
            <w:r w:rsidRPr="00D46DFE">
              <w:lastRenderedPageBreak/>
              <w:t>Facilitating access to stop smoking services</w:t>
            </w:r>
            <w:r w:rsidR="00F13571">
              <w:t xml:space="preserve">: All clients were offered </w:t>
            </w:r>
            <w:r w:rsidR="00C004BA">
              <w:t xml:space="preserve">stop smoking input, including Nicotine replacement therapy, from </w:t>
            </w:r>
            <w:r w:rsidR="0051308D">
              <w:t>Stop Sm</w:t>
            </w:r>
            <w:r w:rsidR="00AF6A75">
              <w:t>o</w:t>
            </w:r>
            <w:r w:rsidR="0051308D">
              <w:t>king trained</w:t>
            </w:r>
            <w:r w:rsidR="00C004BA">
              <w:t xml:space="preserve"> Addaction nurses.</w:t>
            </w:r>
            <w:r w:rsidRPr="00D46DFE">
              <w:t xml:space="preserve"> </w:t>
            </w:r>
          </w:p>
          <w:p w14:paraId="109F5AF6" w14:textId="48321EC1" w:rsidR="00DC6746" w:rsidRDefault="00DC6746" w:rsidP="009E0424">
            <w:pPr>
              <w:pStyle w:val="THFBodytext"/>
              <w:numPr>
                <w:ilvl w:val="0"/>
                <w:numId w:val="29"/>
              </w:numPr>
            </w:pPr>
            <w:r>
              <w:t>Community Respiratory Team (CRT) intervention</w:t>
            </w:r>
            <w:r w:rsidR="00C004BA">
              <w:t xml:space="preserve">: </w:t>
            </w:r>
            <w:r w:rsidR="0051308D">
              <w:t>Specialist respiratory</w:t>
            </w:r>
            <w:r w:rsidR="009E0424">
              <w:t xml:space="preserve"> nurses arranged appointments at Addaction clinics on two occasions and approached a total of 14 patients of whom 11 underwent full COPD review.</w:t>
            </w:r>
            <w:r>
              <w:t xml:space="preserve"> </w:t>
            </w:r>
          </w:p>
          <w:p w14:paraId="2D3B7FDC" w14:textId="77777777" w:rsidR="0033377F" w:rsidRDefault="0025303F" w:rsidP="0033377F">
            <w:pPr>
              <w:pStyle w:val="THFBodytext"/>
              <w:spacing w:line="240" w:lineRule="auto"/>
              <w:rPr>
                <w:b/>
                <w:bCs/>
              </w:rPr>
            </w:pPr>
            <w:r w:rsidRPr="00D163E1">
              <w:rPr>
                <w:b/>
                <w:bCs/>
              </w:rPr>
              <w:t>Changes to our Original Plan</w:t>
            </w:r>
          </w:p>
          <w:p w14:paraId="2F804BC7" w14:textId="69B024ED" w:rsidR="00885558" w:rsidRPr="0033377F" w:rsidRDefault="00401029" w:rsidP="0033377F">
            <w:pPr>
              <w:pStyle w:val="THFBodytext"/>
              <w:spacing w:line="240" w:lineRule="auto"/>
              <w:rPr>
                <w:b/>
                <w:bCs/>
              </w:rPr>
            </w:pPr>
            <w:r w:rsidRPr="00401029">
              <w:rPr>
                <w:bCs/>
              </w:rPr>
              <w:t>Gaining</w:t>
            </w:r>
            <w:r>
              <w:rPr>
                <w:b/>
                <w:bCs/>
              </w:rPr>
              <w:t xml:space="preserve"> </w:t>
            </w:r>
            <w:r>
              <w:t>Addaction COPD clients consent to access their primary and secondary care records.</w:t>
            </w:r>
            <w:r w:rsidR="00CD6CD7">
              <w:t xml:space="preserve"> to</w:t>
            </w:r>
            <w:r w:rsidR="0004214F">
              <w:t>ok longer than we had</w:t>
            </w:r>
            <w:r w:rsidR="00CD6CD7">
              <w:t xml:space="preserve"> anticipated and </w:t>
            </w:r>
            <w:r w:rsidR="0045501D">
              <w:t>the start of the intervention was delayed until late January 2018.</w:t>
            </w:r>
            <w:r w:rsidR="00640E03">
              <w:t xml:space="preserve"> </w:t>
            </w:r>
            <w:r w:rsidR="00A02A1C">
              <w:t>Certain aspects of our planned intervention were o</w:t>
            </w:r>
            <w:r>
              <w:t>mitted</w:t>
            </w:r>
            <w:r w:rsidR="00A02A1C">
              <w:t xml:space="preserve">: </w:t>
            </w:r>
          </w:p>
          <w:p w14:paraId="1EA3147C" w14:textId="72CD5653" w:rsidR="00885558" w:rsidRDefault="00885558" w:rsidP="00875634">
            <w:pPr>
              <w:pStyle w:val="THFBodytext"/>
              <w:numPr>
                <w:ilvl w:val="0"/>
                <w:numId w:val="30"/>
              </w:numPr>
            </w:pPr>
            <w:r>
              <w:t>T</w:t>
            </w:r>
            <w:r w:rsidR="002A6C91">
              <w:t>rain</w:t>
            </w:r>
            <w:r>
              <w:t>ing</w:t>
            </w:r>
            <w:r w:rsidR="002A6C91">
              <w:t xml:space="preserve"> Addaction staff to</w:t>
            </w:r>
            <w:r w:rsidR="00F07F8D">
              <w:t xml:space="preserve"> check and reinforce inhaler technique. This proved to be unrealistic in terms of the training required and the staff’s ability to do this in addition to their current role</w:t>
            </w:r>
            <w:r w:rsidR="00640E03">
              <w:t>s.</w:t>
            </w:r>
          </w:p>
          <w:p w14:paraId="427ABD18" w14:textId="3CFEEE1E" w:rsidR="00885558" w:rsidRPr="00885558" w:rsidRDefault="00885558" w:rsidP="00885558">
            <w:pPr>
              <w:pStyle w:val="THFBodytext"/>
              <w:numPr>
                <w:ilvl w:val="0"/>
                <w:numId w:val="30"/>
              </w:numPr>
            </w:pPr>
            <w:r w:rsidRPr="00885558">
              <w:t>Encourage uptake of pneumococcal &amp; flu vaccination</w:t>
            </w:r>
            <w:r>
              <w:t>. This was not feasible due to the timing of the intervention outside the flu season.</w:t>
            </w:r>
          </w:p>
          <w:p w14:paraId="0DB4259B" w14:textId="77777777" w:rsidR="00FE0FEA" w:rsidRDefault="00FE0FEA" w:rsidP="00FE0FEA">
            <w:pPr>
              <w:pStyle w:val="THFBodytext"/>
              <w:numPr>
                <w:ilvl w:val="0"/>
                <w:numId w:val="30"/>
              </w:numPr>
            </w:pPr>
            <w:r>
              <w:t>Stop smoking support. We had planned to relocate current stop smoking services but instead focused on signposting patients to Addaction nurses with Stop Smoking training.</w:t>
            </w:r>
          </w:p>
          <w:p w14:paraId="3BDF00A0" w14:textId="6073F0AF" w:rsidR="00F13571" w:rsidRPr="00D61087" w:rsidRDefault="00F13571" w:rsidP="00D61087">
            <w:pPr>
              <w:pStyle w:val="THFBodytext"/>
              <w:numPr>
                <w:ilvl w:val="0"/>
                <w:numId w:val="30"/>
              </w:numPr>
            </w:pPr>
            <w:r w:rsidRPr="00885558">
              <w:t>Encourag</w:t>
            </w:r>
            <w:r w:rsidR="00FE0FEA">
              <w:t>e</w:t>
            </w:r>
            <w:r w:rsidRPr="00885558">
              <w:t xml:space="preserve"> attendance for annual repeat spirometry</w:t>
            </w:r>
            <w:r w:rsidR="00FE0FEA">
              <w:t xml:space="preserve">. Our tying the consent process to a PhD project </w:t>
            </w:r>
            <w:r w:rsidR="00D61087">
              <w:t>involving repeat spirometry made this unnecessary.</w:t>
            </w:r>
          </w:p>
          <w:p w14:paraId="2CDE925B" w14:textId="03378350" w:rsidR="00F22E27" w:rsidRDefault="008202D6" w:rsidP="00C93313">
            <w:pPr>
              <w:pStyle w:val="THFBullettext"/>
              <w:numPr>
                <w:ilvl w:val="0"/>
                <w:numId w:val="0"/>
              </w:numPr>
              <w:spacing w:after="0"/>
              <w:rPr>
                <w:b/>
                <w:bCs/>
              </w:rPr>
            </w:pPr>
            <w:r w:rsidRPr="00CD6CD7">
              <w:rPr>
                <w:b/>
                <w:bCs/>
              </w:rPr>
              <w:t xml:space="preserve">Data </w:t>
            </w:r>
            <w:r w:rsidR="006449BF">
              <w:rPr>
                <w:b/>
                <w:bCs/>
              </w:rPr>
              <w:t xml:space="preserve">collection </w:t>
            </w:r>
            <w:r w:rsidRPr="00CD6CD7">
              <w:rPr>
                <w:b/>
                <w:bCs/>
              </w:rPr>
              <w:t>and</w:t>
            </w:r>
            <w:r w:rsidR="00B8461C">
              <w:rPr>
                <w:b/>
                <w:bCs/>
              </w:rPr>
              <w:t xml:space="preserve"> </w:t>
            </w:r>
            <w:r w:rsidR="00DC52FB" w:rsidRPr="00CD6CD7">
              <w:rPr>
                <w:b/>
                <w:bCs/>
              </w:rPr>
              <w:t xml:space="preserve">monitoring of impact on </w:t>
            </w:r>
            <w:r w:rsidR="00086DDF">
              <w:rPr>
                <w:b/>
                <w:bCs/>
              </w:rPr>
              <w:t>q</w:t>
            </w:r>
            <w:r w:rsidR="00DC52FB" w:rsidRPr="00CD6CD7">
              <w:rPr>
                <w:b/>
                <w:bCs/>
              </w:rPr>
              <w:t>uality</w:t>
            </w:r>
          </w:p>
          <w:p w14:paraId="2585820C" w14:textId="77777777" w:rsidR="0033377F" w:rsidRDefault="0033377F" w:rsidP="00C93313">
            <w:pPr>
              <w:pStyle w:val="THFBullettext"/>
              <w:numPr>
                <w:ilvl w:val="0"/>
                <w:numId w:val="0"/>
              </w:numPr>
              <w:spacing w:after="0"/>
              <w:rPr>
                <w:b/>
                <w:bCs/>
              </w:rPr>
            </w:pPr>
          </w:p>
          <w:p w14:paraId="7294A6E5" w14:textId="7A7F2E3F" w:rsidR="002D0CFC" w:rsidRPr="00FE0CA0" w:rsidRDefault="002D0CFC" w:rsidP="00C93313">
            <w:pPr>
              <w:pStyle w:val="THFBullettext"/>
              <w:numPr>
                <w:ilvl w:val="0"/>
                <w:numId w:val="0"/>
              </w:numPr>
              <w:spacing w:after="0"/>
              <w:rPr>
                <w:b/>
                <w:bCs/>
              </w:rPr>
            </w:pPr>
            <w:r w:rsidRPr="00FE0CA0">
              <w:rPr>
                <w:b/>
                <w:bCs/>
              </w:rPr>
              <w:t>Source</w:t>
            </w:r>
            <w:r w:rsidR="00FE0CA0">
              <w:rPr>
                <w:b/>
                <w:bCs/>
              </w:rPr>
              <w:t>s</w:t>
            </w:r>
            <w:r w:rsidRPr="00FE0CA0">
              <w:rPr>
                <w:b/>
                <w:bCs/>
              </w:rPr>
              <w:t xml:space="preserve"> of data</w:t>
            </w:r>
          </w:p>
          <w:p w14:paraId="5094ACBF" w14:textId="511F91C6" w:rsidR="004E4034" w:rsidRDefault="00FE0CA0" w:rsidP="00C93313">
            <w:pPr>
              <w:pStyle w:val="THFBullettext"/>
              <w:numPr>
                <w:ilvl w:val="0"/>
                <w:numId w:val="0"/>
              </w:numPr>
              <w:spacing w:after="0"/>
            </w:pPr>
            <w:r>
              <w:t>P</w:t>
            </w:r>
            <w:r w:rsidR="008446BD">
              <w:t xml:space="preserve">rimary care, stop smoking </w:t>
            </w:r>
            <w:r>
              <w:t xml:space="preserve">and PR </w:t>
            </w:r>
            <w:r w:rsidR="008446BD">
              <w:t>referral</w:t>
            </w:r>
            <w:r w:rsidR="00DE6BAA">
              <w:t xml:space="preserve"> and uptake </w:t>
            </w:r>
            <w:r>
              <w:t>data</w:t>
            </w:r>
            <w:r w:rsidR="008446BD">
              <w:t xml:space="preserve"> </w:t>
            </w:r>
            <w:r w:rsidR="004E4034" w:rsidRPr="00DF62C4">
              <w:t xml:space="preserve">were collected and collated </w:t>
            </w:r>
            <w:r w:rsidR="00DF62C4">
              <w:t xml:space="preserve">by the Addaction project coordinator. </w:t>
            </w:r>
            <w:r w:rsidR="008446BD">
              <w:t xml:space="preserve">The </w:t>
            </w:r>
            <w:r w:rsidR="00A42479">
              <w:t>rolling</w:t>
            </w:r>
            <w:r w:rsidR="008446BD">
              <w:t xml:space="preserve"> nature of different aspects o</w:t>
            </w:r>
            <w:r w:rsidR="00B25721">
              <w:t>f the intervention and the fact that the intervention took place over 31 Addaction clinic sites proved challenging. These data wer</w:t>
            </w:r>
            <w:r w:rsidR="0004214F">
              <w:t>e, for this reason, not</w:t>
            </w:r>
            <w:r w:rsidR="00B25721">
              <w:t xml:space="preserve"> complete.</w:t>
            </w:r>
          </w:p>
          <w:p w14:paraId="2DAB99A3" w14:textId="77777777" w:rsidR="00FE0CA0" w:rsidRDefault="00FE0CA0" w:rsidP="00C93313">
            <w:pPr>
              <w:pStyle w:val="THFBullettext"/>
              <w:numPr>
                <w:ilvl w:val="0"/>
                <w:numId w:val="0"/>
              </w:numPr>
              <w:spacing w:after="0"/>
            </w:pPr>
          </w:p>
          <w:p w14:paraId="15262F57" w14:textId="63153534" w:rsidR="00DE6BAA" w:rsidRPr="00DF62C4" w:rsidRDefault="00DE6BAA" w:rsidP="00C93313">
            <w:pPr>
              <w:pStyle w:val="THFBullettext"/>
              <w:numPr>
                <w:ilvl w:val="0"/>
                <w:numId w:val="0"/>
              </w:numPr>
              <w:spacing w:after="0"/>
            </w:pPr>
            <w:r>
              <w:t>Data regarding primary care</w:t>
            </w:r>
            <w:r w:rsidR="00A42479">
              <w:t xml:space="preserve"> attendance for COPD consultations and prescriptions were collected from </w:t>
            </w:r>
            <w:r w:rsidR="003B57A6">
              <w:t>an electronic patient records system</w:t>
            </w:r>
            <w:r w:rsidR="00A42479">
              <w:t xml:space="preserve"> </w:t>
            </w:r>
            <w:r w:rsidR="003B57A6">
              <w:t>(</w:t>
            </w:r>
            <w:r w:rsidR="00A42479">
              <w:t>EMIS</w:t>
            </w:r>
            <w:r w:rsidR="003B57A6">
              <w:t>)</w:t>
            </w:r>
            <w:r w:rsidR="00A42479">
              <w:t xml:space="preserve"> </w:t>
            </w:r>
            <w:r w:rsidR="00F539EF">
              <w:t xml:space="preserve">by </w:t>
            </w:r>
            <w:r w:rsidR="00A42479">
              <w:t xml:space="preserve">pharmacy technicians, a Band 8 pharmacist and a CRT nurse. </w:t>
            </w:r>
            <w:r w:rsidR="003B57A6">
              <w:t xml:space="preserve">They were collated with the help of an administrator and analysed by a hospital data analyst. </w:t>
            </w:r>
            <w:r w:rsidR="00A42479">
              <w:t>We had originally</w:t>
            </w:r>
            <w:r w:rsidR="003B57A6">
              <w:t xml:space="preserve"> planned to </w:t>
            </w:r>
            <w:r w:rsidR="00F539EF">
              <w:t>employ</w:t>
            </w:r>
            <w:r w:rsidR="003B57A6">
              <w:t xml:space="preserve"> administrative staff to collect the data but came to realise that</w:t>
            </w:r>
            <w:r w:rsidR="00A42479">
              <w:t xml:space="preserve"> </w:t>
            </w:r>
            <w:r w:rsidR="003B57A6">
              <w:t>a</w:t>
            </w:r>
            <w:r w:rsidR="00A42479">
              <w:t>ccess to the EMIS system is limited to clinical staff</w:t>
            </w:r>
            <w:r w:rsidR="003B57A6">
              <w:t xml:space="preserve">. </w:t>
            </w:r>
            <w:r w:rsidR="00725207">
              <w:t>It was hard to</w:t>
            </w:r>
            <w:r w:rsidR="001D3D73">
              <w:t xml:space="preserve"> find clinical staff with the time </w:t>
            </w:r>
            <w:r w:rsidR="00725207">
              <w:t xml:space="preserve">and skills </w:t>
            </w:r>
            <w:r w:rsidR="001D3D73">
              <w:t xml:space="preserve">to </w:t>
            </w:r>
            <w:r w:rsidR="002D0CFC">
              <w:t>collect</w:t>
            </w:r>
            <w:r w:rsidR="00725207">
              <w:t xml:space="preserve"> and</w:t>
            </w:r>
            <w:r w:rsidR="002D0CFC">
              <w:t xml:space="preserve"> collat</w:t>
            </w:r>
            <w:r w:rsidR="00725207">
              <w:t>e</w:t>
            </w:r>
            <w:r w:rsidR="002D0CFC">
              <w:t xml:space="preserve"> </w:t>
            </w:r>
            <w:r w:rsidR="00725207">
              <w:t xml:space="preserve">the required information </w:t>
            </w:r>
            <w:r w:rsidR="002D0CFC">
              <w:t xml:space="preserve">and analysis proved </w:t>
            </w:r>
            <w:r w:rsidR="003355D2">
              <w:t>much more challenging</w:t>
            </w:r>
            <w:r w:rsidR="002D0CFC">
              <w:t xml:space="preserve"> than we had anticipated. </w:t>
            </w:r>
            <w:r w:rsidR="00BF5446">
              <w:t>A</w:t>
            </w:r>
            <w:r w:rsidR="002D0CFC">
              <w:t xml:space="preserve"> few patients had moved GPs between the two periods we were assessing or were looked after by </w:t>
            </w:r>
            <w:r w:rsidR="00BF5446">
              <w:t xml:space="preserve">a </w:t>
            </w:r>
            <w:r w:rsidR="002D0CFC">
              <w:t>GP practice that w</w:t>
            </w:r>
            <w:r w:rsidR="00BF5446">
              <w:t>as</w:t>
            </w:r>
            <w:r w:rsidR="002D0CFC">
              <w:t xml:space="preserve"> not signed up to the EMIS system.</w:t>
            </w:r>
            <w:r>
              <w:t xml:space="preserve"> </w:t>
            </w:r>
          </w:p>
          <w:p w14:paraId="6A93A825" w14:textId="77777777" w:rsidR="00401029" w:rsidRDefault="00DC52FB" w:rsidP="00C93313">
            <w:pPr>
              <w:pStyle w:val="THFBullettext"/>
              <w:numPr>
                <w:ilvl w:val="0"/>
                <w:numId w:val="0"/>
              </w:numPr>
              <w:spacing w:after="0"/>
              <w:rPr>
                <w:b/>
                <w:bCs/>
              </w:rPr>
            </w:pPr>
            <w:r w:rsidRPr="00CD6CD7">
              <w:rPr>
                <w:b/>
                <w:bCs/>
              </w:rPr>
              <w:lastRenderedPageBreak/>
              <w:t>Adjustments to outcome measures</w:t>
            </w:r>
          </w:p>
          <w:p w14:paraId="520EDE69" w14:textId="7DF72EAA" w:rsidR="00532606" w:rsidRPr="0033377F" w:rsidRDefault="006059DD" w:rsidP="00C93313">
            <w:pPr>
              <w:pStyle w:val="THFBullettext"/>
              <w:numPr>
                <w:ilvl w:val="0"/>
                <w:numId w:val="0"/>
              </w:numPr>
              <w:spacing w:after="0"/>
              <w:rPr>
                <w:b/>
                <w:bCs/>
              </w:rPr>
            </w:pPr>
            <w:r>
              <w:t>Collecting data post intervention proved challenging</w:t>
            </w:r>
            <w:r w:rsidR="0004214F">
              <w:t xml:space="preserve">. </w:t>
            </w:r>
            <w:r>
              <w:t>We elected to compare two matched 6 month periods pre and post intervention (01/04/17 to 30/09/17 and 01/04/18 to 30/09/18) to assess the impact</w:t>
            </w:r>
            <w:r w:rsidR="00532606">
              <w:t xml:space="preserve"> of our work.</w:t>
            </w:r>
          </w:p>
          <w:p w14:paraId="00E81C20" w14:textId="3A1EFE4F" w:rsidR="00472831" w:rsidRDefault="006059DD" w:rsidP="00C93313">
            <w:pPr>
              <w:pStyle w:val="THFBullettext"/>
              <w:numPr>
                <w:ilvl w:val="0"/>
                <w:numId w:val="0"/>
              </w:numPr>
              <w:spacing w:after="0"/>
            </w:pPr>
            <w:r>
              <w:t xml:space="preserve"> </w:t>
            </w:r>
          </w:p>
          <w:p w14:paraId="41EDC0DC" w14:textId="5AF2B4BB" w:rsidR="00DC52FB" w:rsidRDefault="00DC52FB" w:rsidP="00C93313">
            <w:pPr>
              <w:pStyle w:val="THFBullettext"/>
              <w:numPr>
                <w:ilvl w:val="0"/>
                <w:numId w:val="0"/>
              </w:numPr>
              <w:spacing w:after="0"/>
              <w:rPr>
                <w:b/>
                <w:bCs/>
              </w:rPr>
            </w:pPr>
            <w:r w:rsidRPr="00CD6CD7">
              <w:rPr>
                <w:b/>
                <w:bCs/>
              </w:rPr>
              <w:t>The Impact of our intervention</w:t>
            </w:r>
          </w:p>
          <w:p w14:paraId="58FED11A" w14:textId="77777777" w:rsidR="00BB59A8" w:rsidRDefault="00BB59A8" w:rsidP="00C93313">
            <w:pPr>
              <w:pStyle w:val="THFBullettext"/>
              <w:numPr>
                <w:ilvl w:val="0"/>
                <w:numId w:val="0"/>
              </w:numPr>
              <w:spacing w:after="0"/>
              <w:rPr>
                <w:b/>
                <w:bCs/>
              </w:rPr>
            </w:pPr>
          </w:p>
          <w:p w14:paraId="79BAFC60" w14:textId="7A48D913" w:rsidR="00AF6A75" w:rsidRPr="00AF6A75" w:rsidRDefault="00BB59A8" w:rsidP="00C93313">
            <w:pPr>
              <w:pStyle w:val="THFBullettext"/>
              <w:numPr>
                <w:ilvl w:val="0"/>
                <w:numId w:val="0"/>
              </w:numPr>
              <w:spacing w:after="0"/>
              <w:rPr>
                <w:b/>
                <w:bCs/>
              </w:rPr>
            </w:pPr>
            <w:r>
              <w:rPr>
                <w:b/>
                <w:bCs/>
              </w:rPr>
              <w:t>Qua</w:t>
            </w:r>
            <w:r w:rsidR="00626857">
              <w:rPr>
                <w:b/>
                <w:bCs/>
              </w:rPr>
              <w:t>l</w:t>
            </w:r>
            <w:r>
              <w:rPr>
                <w:b/>
                <w:bCs/>
              </w:rPr>
              <w:t>itative outcomes:</w:t>
            </w:r>
          </w:p>
          <w:p w14:paraId="57002FF5" w14:textId="217A533C" w:rsidR="00AF6A75" w:rsidRPr="00BB59A8" w:rsidRDefault="00AF6A75" w:rsidP="00C93313">
            <w:pPr>
              <w:pStyle w:val="THFBullettext"/>
              <w:numPr>
                <w:ilvl w:val="0"/>
                <w:numId w:val="0"/>
              </w:numPr>
              <w:spacing w:after="0"/>
              <w:rPr>
                <w:bCs/>
              </w:rPr>
            </w:pPr>
            <w:r w:rsidRPr="00AF6A75">
              <w:rPr>
                <w:bCs/>
              </w:rPr>
              <w:t xml:space="preserve">Terry, </w:t>
            </w:r>
            <w:r>
              <w:rPr>
                <w:bCs/>
              </w:rPr>
              <w:t xml:space="preserve">our steering group’s patient representative, </w:t>
            </w:r>
            <w:r w:rsidRPr="00AF6A75">
              <w:rPr>
                <w:bCs/>
              </w:rPr>
              <w:t>has set up a COPD clients’ group which meets every two weeks.</w:t>
            </w:r>
            <w:r>
              <w:rPr>
                <w:bCs/>
              </w:rPr>
              <w:t xml:space="preserve"> He is keen to remain involved and we are committed to helping him spread the message that there is treatment available. Paul, CRT nurse, gained a lot from working with this group and is keen to spearhead on-going CRT involvement.</w:t>
            </w:r>
            <w:r w:rsidR="00BB59A8">
              <w:rPr>
                <w:bCs/>
              </w:rPr>
              <w:t xml:space="preserve"> </w:t>
            </w:r>
          </w:p>
          <w:p w14:paraId="42A8B161" w14:textId="77777777" w:rsidR="00BB59A8" w:rsidRDefault="00BB59A8" w:rsidP="00BB59A8">
            <w:pPr>
              <w:pStyle w:val="THFBullettext"/>
              <w:numPr>
                <w:ilvl w:val="0"/>
                <w:numId w:val="0"/>
              </w:numPr>
              <w:spacing w:after="0"/>
              <w:rPr>
                <w:b/>
                <w:bCs/>
              </w:rPr>
            </w:pPr>
          </w:p>
          <w:p w14:paraId="285F312D" w14:textId="45236790" w:rsidR="00D94491" w:rsidRPr="00BB59A8" w:rsidRDefault="0033377F" w:rsidP="00BB59A8">
            <w:pPr>
              <w:pStyle w:val="THFBullettext"/>
              <w:numPr>
                <w:ilvl w:val="0"/>
                <w:numId w:val="0"/>
              </w:numPr>
              <w:spacing w:after="0"/>
              <w:rPr>
                <w:b/>
                <w:bCs/>
              </w:rPr>
            </w:pPr>
            <w:r>
              <w:rPr>
                <w:b/>
                <w:bCs/>
              </w:rPr>
              <w:t>Qua</w:t>
            </w:r>
            <w:r w:rsidR="00626857">
              <w:rPr>
                <w:b/>
                <w:bCs/>
              </w:rPr>
              <w:t>nt</w:t>
            </w:r>
            <w:r>
              <w:rPr>
                <w:b/>
                <w:bCs/>
              </w:rPr>
              <w:t>itative</w:t>
            </w:r>
            <w:r w:rsidR="00BB59A8">
              <w:rPr>
                <w:b/>
                <w:bCs/>
              </w:rPr>
              <w:t xml:space="preserve"> outcomes</w:t>
            </w:r>
            <w:r w:rsidR="00AF6A75">
              <w:rPr>
                <w:b/>
                <w:bCs/>
              </w:rPr>
              <w:t>:</w:t>
            </w:r>
          </w:p>
          <w:p w14:paraId="3F24EEAC" w14:textId="77777777" w:rsidR="00453A5B" w:rsidRDefault="00453A5B" w:rsidP="00453A5B">
            <w:pPr>
              <w:pStyle w:val="THFBullettext"/>
              <w:numPr>
                <w:ilvl w:val="0"/>
                <w:numId w:val="34"/>
              </w:numPr>
              <w:spacing w:after="0"/>
            </w:pPr>
            <w:r>
              <w:t xml:space="preserve">Poor uptake of facilitated </w:t>
            </w:r>
            <w:r w:rsidRPr="00875634">
              <w:t>Pulmonary Rehabilitation</w:t>
            </w:r>
            <w:r>
              <w:t xml:space="preserve"> (PR): Attendance at any PR session: 7/41 patients (17%), completion of PR 0/41</w:t>
            </w:r>
          </w:p>
          <w:p w14:paraId="05F2654D" w14:textId="464BAC81" w:rsidR="00453A5B" w:rsidRDefault="00261EE3" w:rsidP="00453A5B">
            <w:pPr>
              <w:pStyle w:val="THFBullettext"/>
              <w:numPr>
                <w:ilvl w:val="1"/>
                <w:numId w:val="34"/>
              </w:numPr>
              <w:spacing w:after="0"/>
            </w:pPr>
            <w:r>
              <w:t xml:space="preserve">PR, facilitated and targetted at this cohort with small groups and initial meetings occurring at the substance misuse clinics with PR itself scheduled for &lt;200m away, was a key part of our intervention and the uptake does not justify future reconfiguring of services. Clients’ feedback included that they were not keen on attending groups and that they were embarrassed about their breathlessness. </w:t>
            </w:r>
          </w:p>
          <w:p w14:paraId="5D2F1359" w14:textId="60259C9D" w:rsidR="00D94491" w:rsidRDefault="003220D4" w:rsidP="00BB59A8">
            <w:pPr>
              <w:pStyle w:val="THFBullettext"/>
              <w:numPr>
                <w:ilvl w:val="0"/>
                <w:numId w:val="34"/>
              </w:numPr>
              <w:spacing w:after="0"/>
            </w:pPr>
            <w:r>
              <w:t>Poor u</w:t>
            </w:r>
            <w:r w:rsidR="006059DD" w:rsidRPr="00875634">
              <w:t>ptake of stop smoking services</w:t>
            </w:r>
            <w:r w:rsidR="00D33042">
              <w:t>:</w:t>
            </w:r>
            <w:r w:rsidR="00FE0E4E">
              <w:t xml:space="preserve"> </w:t>
            </w:r>
            <w:r>
              <w:t>12/280 patients (4.3%)</w:t>
            </w:r>
          </w:p>
          <w:p w14:paraId="1DF62561" w14:textId="06F34F00" w:rsidR="00261EE3" w:rsidRDefault="00261EE3" w:rsidP="00261EE3">
            <w:pPr>
              <w:pStyle w:val="THFBullettext"/>
              <w:numPr>
                <w:ilvl w:val="1"/>
                <w:numId w:val="34"/>
              </w:numPr>
              <w:spacing w:after="0"/>
            </w:pPr>
            <w:r>
              <w:t xml:space="preserve">Stop smoking was not taken up in significant numbers. Cigarette smoking reduction/cessation is not seen as a priority amongst the drug smoking population. </w:t>
            </w:r>
          </w:p>
          <w:p w14:paraId="4225D227" w14:textId="3F2A7550" w:rsidR="0075746A" w:rsidRDefault="006059DD" w:rsidP="00BB59A8">
            <w:pPr>
              <w:pStyle w:val="THFBullettext"/>
              <w:numPr>
                <w:ilvl w:val="0"/>
                <w:numId w:val="34"/>
              </w:numPr>
              <w:spacing w:after="0"/>
            </w:pPr>
            <w:r w:rsidRPr="00875634">
              <w:t>Prescription of COPD medication</w:t>
            </w:r>
            <w:r w:rsidR="00D33042">
              <w:t xml:space="preserve">. </w:t>
            </w:r>
            <w:r w:rsidR="002834E2">
              <w:t xml:space="preserve">Self </w:t>
            </w:r>
            <w:r w:rsidR="0004214F">
              <w:t>-</w:t>
            </w:r>
            <w:r w:rsidR="002834E2">
              <w:t xml:space="preserve">reported: </w:t>
            </w:r>
            <w:r w:rsidR="005478CE">
              <w:t>60 patients with known COPD not prescribed tr</w:t>
            </w:r>
            <w:r w:rsidR="0004214F">
              <w:t>eatment at baseline that had received treatment by</w:t>
            </w:r>
            <w:r w:rsidR="005478CE">
              <w:t xml:space="preserve"> the end of the intervention </w:t>
            </w:r>
            <w:r w:rsidR="00F30470">
              <w:t>5/60 (8.3%)</w:t>
            </w:r>
          </w:p>
          <w:p w14:paraId="5AE34E62" w14:textId="5301516D" w:rsidR="00261EE3" w:rsidRDefault="00261EE3" w:rsidP="00261EE3">
            <w:pPr>
              <w:pStyle w:val="THFBullettext"/>
              <w:numPr>
                <w:ilvl w:val="1"/>
                <w:numId w:val="34"/>
              </w:numPr>
              <w:spacing w:after="0"/>
            </w:pPr>
            <w:r>
              <w:t>Patients had received some kind of prescription for inhalers suggesting good uptake of COPD reviews.</w:t>
            </w:r>
          </w:p>
          <w:p w14:paraId="2E94676D" w14:textId="749DA62D" w:rsidR="004E5D1E" w:rsidRPr="00261EE3" w:rsidRDefault="006059DD" w:rsidP="00BB59A8">
            <w:pPr>
              <w:pStyle w:val="THFBullettext"/>
              <w:numPr>
                <w:ilvl w:val="0"/>
                <w:numId w:val="34"/>
              </w:numPr>
              <w:spacing w:after="0"/>
              <w:rPr>
                <w:rFonts w:asciiTheme="minorHAnsi" w:hAnsiTheme="minorHAnsi" w:cstheme="minorHAnsi"/>
              </w:rPr>
            </w:pPr>
            <w:r w:rsidRPr="00875634">
              <w:t>Collection of pr</w:t>
            </w:r>
            <w:r w:rsidR="00BB59A8">
              <w:t xml:space="preserve">escriptions for COPD medication. </w:t>
            </w:r>
            <w:r w:rsidR="00BB59A8" w:rsidRPr="00BB59A8">
              <w:rPr>
                <w:rFonts w:asciiTheme="minorHAnsi" w:hAnsiTheme="minorHAnsi" w:cstheme="minorHAnsi"/>
                <w:color w:val="000000"/>
              </w:rPr>
              <w:t xml:space="preserve">At the </w:t>
            </w:r>
            <w:r w:rsidR="00BB59A8">
              <w:rPr>
                <w:rFonts w:asciiTheme="minorHAnsi" w:hAnsiTheme="minorHAnsi" w:cstheme="minorHAnsi"/>
                <w:color w:val="000000"/>
              </w:rPr>
              <w:t>end of the project, o</w:t>
            </w:r>
            <w:r w:rsidR="00BB59A8" w:rsidRPr="00BB59A8">
              <w:rPr>
                <w:rFonts w:asciiTheme="minorHAnsi" w:hAnsiTheme="minorHAnsi" w:cstheme="minorHAnsi"/>
                <w:color w:val="000000"/>
              </w:rPr>
              <w:t xml:space="preserve">nly 40 (26%) patients were prescribed no inhaler treatment. Prescription collection rates were excellent. </w:t>
            </w:r>
          </w:p>
          <w:p w14:paraId="5EFCF58C" w14:textId="2F555641" w:rsidR="00261EE3" w:rsidRPr="00BB59A8" w:rsidRDefault="00261EE3" w:rsidP="00261EE3">
            <w:pPr>
              <w:pStyle w:val="THFBullettext"/>
              <w:numPr>
                <w:ilvl w:val="1"/>
                <w:numId w:val="34"/>
              </w:numPr>
              <w:spacing w:after="0"/>
              <w:rPr>
                <w:rFonts w:asciiTheme="minorHAnsi" w:hAnsiTheme="minorHAnsi" w:cstheme="minorHAnsi"/>
              </w:rPr>
            </w:pPr>
            <w:r>
              <w:rPr>
                <w:rFonts w:asciiTheme="minorHAnsi" w:hAnsiTheme="minorHAnsi" w:cstheme="minorHAnsi"/>
                <w:color w:val="000000"/>
              </w:rPr>
              <w:t>Patients engaged with COPD care to the extent that the majority were on some kin</w:t>
            </w:r>
            <w:r w:rsidR="00080AEA">
              <w:rPr>
                <w:rFonts w:asciiTheme="minorHAnsi" w:hAnsiTheme="minorHAnsi" w:cstheme="minorHAnsi"/>
                <w:color w:val="000000"/>
              </w:rPr>
              <w:t>d of inhaled treatment. The pick up rates were excellent suggesting that concordance with treatment was good.</w:t>
            </w:r>
          </w:p>
          <w:p w14:paraId="4A2D760A" w14:textId="77DAC75D" w:rsidR="007771BB" w:rsidRDefault="00E51E26" w:rsidP="0033377F">
            <w:pPr>
              <w:pStyle w:val="THFBullettext"/>
              <w:numPr>
                <w:ilvl w:val="0"/>
                <w:numId w:val="34"/>
              </w:numPr>
              <w:spacing w:after="0"/>
            </w:pPr>
            <w:r>
              <w:t>Reduction</w:t>
            </w:r>
            <w:r w:rsidR="006059DD" w:rsidRPr="00875634">
              <w:t xml:space="preserve"> in daily doses of illicit drugs and/methadone</w:t>
            </w:r>
            <w:r w:rsidR="00080AEA">
              <w:t>.</w:t>
            </w:r>
          </w:p>
          <w:p w14:paraId="58DCED60" w14:textId="7703DCAA" w:rsidR="00E51E26" w:rsidRDefault="00BC5E47" w:rsidP="00F13BBC">
            <w:pPr>
              <w:pStyle w:val="THFBullettext"/>
              <w:numPr>
                <w:ilvl w:val="1"/>
                <w:numId w:val="34"/>
              </w:numPr>
              <w:spacing w:after="0"/>
            </w:pPr>
            <w:r>
              <w:t xml:space="preserve">The proportion of patients </w:t>
            </w:r>
            <w:r w:rsidR="00023457">
              <w:t>report</w:t>
            </w:r>
            <w:r>
              <w:t>ing a reduction in illicit drug use was greater than the proportion reporting increase</w:t>
            </w:r>
            <w:r w:rsidR="0033377F">
              <w:t>d use</w:t>
            </w:r>
            <w:r w:rsidR="00867622">
              <w:t xml:space="preserve"> (D180 v D1)</w:t>
            </w:r>
            <w:r w:rsidR="00023457">
              <w:t xml:space="preserve"> </w:t>
            </w:r>
            <w:r w:rsidR="00670312">
              <w:t xml:space="preserve">across all drugs: </w:t>
            </w:r>
            <w:r w:rsidR="00DB20EC">
              <w:t>heroin</w:t>
            </w:r>
            <w:r w:rsidR="00670312">
              <w:t xml:space="preserve"> (34 v 26%)</w:t>
            </w:r>
            <w:r w:rsidR="00DB20EC">
              <w:t xml:space="preserve">, crack </w:t>
            </w:r>
            <w:r w:rsidR="00670312">
              <w:t xml:space="preserve">(35 v 18%) </w:t>
            </w:r>
            <w:r w:rsidR="00DB20EC">
              <w:t>and cannabis</w:t>
            </w:r>
            <w:r w:rsidR="00E51E26">
              <w:t xml:space="preserve"> (67 v 8%). The same was true for methadone dose (18 v 10%).</w:t>
            </w:r>
          </w:p>
          <w:p w14:paraId="6A355240" w14:textId="451FC7F2" w:rsidR="00F13BBC" w:rsidRDefault="00652B26" w:rsidP="00F13BBC">
            <w:pPr>
              <w:pStyle w:val="THFBullettext"/>
              <w:numPr>
                <w:ilvl w:val="1"/>
                <w:numId w:val="34"/>
              </w:numPr>
              <w:spacing w:after="0"/>
            </w:pPr>
            <w:r>
              <w:t>This is a very positive result and</w:t>
            </w:r>
            <w:r w:rsidR="00D55997">
              <w:t xml:space="preserve"> w</w:t>
            </w:r>
            <w:r w:rsidR="00F13BBC">
              <w:t xml:space="preserve">e relate this outcome to the overall intervention. Evidence from previous pilot work at Addaction suggested </w:t>
            </w:r>
            <w:r w:rsidR="00F13BBC">
              <w:lastRenderedPageBreak/>
              <w:t xml:space="preserve">that a focus on recovery rather than harm reduction in substance misuse led to increased uptake of physical health reviews. We hypothesised that the reverse might hold – an increased focus on physical health might lead to a reduction in illicit drug </w:t>
            </w:r>
            <w:r>
              <w:t xml:space="preserve">and opiate substitute </w:t>
            </w:r>
            <w:r w:rsidR="00F13BBC">
              <w:t>use</w:t>
            </w:r>
            <w:r w:rsidR="00067980">
              <w:t xml:space="preserve">. This </w:t>
            </w:r>
            <w:r w:rsidR="00D55997">
              <w:t>appears to have been the case.</w:t>
            </w:r>
          </w:p>
          <w:p w14:paraId="6F465F76" w14:textId="760ED7AC" w:rsidR="00662C2E" w:rsidRDefault="00662C2E" w:rsidP="00662C2E">
            <w:pPr>
              <w:pStyle w:val="THFBullettext"/>
              <w:numPr>
                <w:ilvl w:val="0"/>
                <w:numId w:val="35"/>
              </w:numPr>
              <w:spacing w:after="0"/>
            </w:pPr>
            <w:r>
              <w:t>Excellent uptake of Community Respiratory Team (CRT) review. 11/14 patients approached underwent COPD optimisation.</w:t>
            </w:r>
          </w:p>
          <w:p w14:paraId="3274EB21" w14:textId="005A7C32" w:rsidR="00662C2E" w:rsidRDefault="00E20AE8" w:rsidP="00662C2E">
            <w:pPr>
              <w:pStyle w:val="THFBullettext"/>
              <w:numPr>
                <w:ilvl w:val="1"/>
                <w:numId w:val="35"/>
              </w:numPr>
              <w:spacing w:after="0"/>
            </w:pPr>
            <w:r>
              <w:t>The CRT attended two separate Addaction clinics</w:t>
            </w:r>
            <w:r w:rsidR="00111946">
              <w:t xml:space="preserve"> and saw clients for COPD optimisation immediately before or after their scheduled key worker appointment.</w:t>
            </w:r>
            <w:r>
              <w:t>.</w:t>
            </w:r>
          </w:p>
          <w:p w14:paraId="72037661" w14:textId="4547F6EF" w:rsidR="00E20AE8" w:rsidRDefault="00E20AE8" w:rsidP="00662C2E">
            <w:pPr>
              <w:pStyle w:val="THFBullettext"/>
              <w:numPr>
                <w:ilvl w:val="1"/>
                <w:numId w:val="35"/>
              </w:numPr>
              <w:spacing w:after="0"/>
            </w:pPr>
            <w:r>
              <w:t>Patient appointments were re-arranged such that all clients attending on those days were know to have COPD.</w:t>
            </w:r>
          </w:p>
          <w:p w14:paraId="2868A5C5" w14:textId="707497C3" w:rsidR="00E20AE8" w:rsidRDefault="00CB2A64" w:rsidP="00662C2E">
            <w:pPr>
              <w:pStyle w:val="THFBullettext"/>
              <w:numPr>
                <w:ilvl w:val="1"/>
                <w:numId w:val="35"/>
              </w:numPr>
              <w:spacing w:after="0"/>
            </w:pPr>
            <w:r>
              <w:t xml:space="preserve">The </w:t>
            </w:r>
            <w:r w:rsidR="00E20AE8">
              <w:t xml:space="preserve">CRT </w:t>
            </w:r>
            <w:r>
              <w:t>nurse</w:t>
            </w:r>
            <w:r w:rsidR="00E20AE8">
              <w:t xml:space="preserve"> </w:t>
            </w:r>
          </w:p>
          <w:p w14:paraId="74D8F734" w14:textId="5EA88774" w:rsidR="00E20AE8" w:rsidRDefault="00E20AE8" w:rsidP="00E20AE8">
            <w:pPr>
              <w:pStyle w:val="THFBullettext"/>
              <w:numPr>
                <w:ilvl w:val="2"/>
                <w:numId w:val="35"/>
              </w:numPr>
              <w:spacing w:after="0"/>
            </w:pPr>
            <w:r>
              <w:t>review</w:t>
            </w:r>
            <w:r w:rsidR="00CB2A64">
              <w:t>ed</w:t>
            </w:r>
            <w:r>
              <w:t xml:space="preserve"> and correct</w:t>
            </w:r>
            <w:r w:rsidR="00CB2A64">
              <w:t>ed</w:t>
            </w:r>
            <w:r>
              <w:t xml:space="preserve"> inhaler technique</w:t>
            </w:r>
          </w:p>
          <w:p w14:paraId="52B91985" w14:textId="5B13F7E8" w:rsidR="00CB2A64" w:rsidRDefault="00C3717C" w:rsidP="00E20AE8">
            <w:pPr>
              <w:pStyle w:val="THFBullettext"/>
              <w:numPr>
                <w:ilvl w:val="2"/>
                <w:numId w:val="35"/>
              </w:numPr>
              <w:spacing w:after="0"/>
            </w:pPr>
            <w:r>
              <w:t>provided</w:t>
            </w:r>
            <w:r w:rsidR="00CB2A64">
              <w:t xml:space="preserve"> patients written action plans</w:t>
            </w:r>
          </w:p>
          <w:p w14:paraId="44ABDBA8" w14:textId="1A1B3AEC" w:rsidR="00CB2A64" w:rsidRDefault="00C3717C" w:rsidP="00E20AE8">
            <w:pPr>
              <w:pStyle w:val="THFBullettext"/>
              <w:numPr>
                <w:ilvl w:val="2"/>
                <w:numId w:val="35"/>
              </w:numPr>
              <w:spacing w:after="0"/>
            </w:pPr>
            <w:r>
              <w:t>r</w:t>
            </w:r>
            <w:r w:rsidR="00975C57">
              <w:t>e-iterated the importance of stopping smoking</w:t>
            </w:r>
          </w:p>
          <w:p w14:paraId="37D4F8F8" w14:textId="7ED8EE0D" w:rsidR="00975C57" w:rsidRDefault="00C3717C" w:rsidP="00E20AE8">
            <w:pPr>
              <w:pStyle w:val="THFBullettext"/>
              <w:numPr>
                <w:ilvl w:val="2"/>
                <w:numId w:val="35"/>
              </w:numPr>
              <w:spacing w:after="0"/>
            </w:pPr>
            <w:r>
              <w:t>p</w:t>
            </w:r>
            <w:r w:rsidR="00975C57">
              <w:t>rescribed additional COPD medication as appropriate</w:t>
            </w:r>
          </w:p>
          <w:p w14:paraId="2BC45BCF" w14:textId="78AA4864" w:rsidR="00975C57" w:rsidRDefault="00C3717C" w:rsidP="00E20AE8">
            <w:pPr>
              <w:pStyle w:val="THFBullettext"/>
              <w:numPr>
                <w:ilvl w:val="2"/>
                <w:numId w:val="35"/>
              </w:numPr>
              <w:spacing w:after="0"/>
            </w:pPr>
            <w:r>
              <w:t>a</w:t>
            </w:r>
            <w:r w:rsidR="00975C57">
              <w:t>dvised regarding the need for vaccinations (flu and pneumococcal)</w:t>
            </w:r>
          </w:p>
          <w:p w14:paraId="1E2F0BED" w14:textId="48DBE3BC" w:rsidR="00975C57" w:rsidRDefault="00C3717C" w:rsidP="00E20AE8">
            <w:pPr>
              <w:pStyle w:val="THFBullettext"/>
              <w:numPr>
                <w:ilvl w:val="2"/>
                <w:numId w:val="35"/>
              </w:numPr>
              <w:spacing w:after="0"/>
            </w:pPr>
            <w:r>
              <w:t>r</w:t>
            </w:r>
            <w:r w:rsidR="006231B7">
              <w:t>eferred to dieticians if appropriate</w:t>
            </w:r>
          </w:p>
          <w:p w14:paraId="2E06F97B" w14:textId="7B5B6E81" w:rsidR="006059DD" w:rsidRDefault="00834F6D" w:rsidP="0033377F">
            <w:pPr>
              <w:pStyle w:val="THFBullettext"/>
              <w:numPr>
                <w:ilvl w:val="0"/>
                <w:numId w:val="34"/>
              </w:numPr>
              <w:spacing w:after="0"/>
            </w:pPr>
            <w:r>
              <w:t>Increase</w:t>
            </w:r>
            <w:r w:rsidR="006059DD" w:rsidRPr="00875634">
              <w:t xml:space="preserve"> in A&amp;E attendances, hospital admissions and length of stay</w:t>
            </w:r>
            <w:r w:rsidR="00082773">
              <w:t xml:space="preserve"> (detailed in table below)</w:t>
            </w:r>
          </w:p>
          <w:p w14:paraId="7DAB4B96" w14:textId="39BB1C19" w:rsidR="00082773" w:rsidRDefault="00E436EC" w:rsidP="00082773">
            <w:pPr>
              <w:pStyle w:val="THFBullettext"/>
              <w:numPr>
                <w:ilvl w:val="1"/>
                <w:numId w:val="34"/>
              </w:numPr>
              <w:spacing w:after="0"/>
            </w:pPr>
            <w:r>
              <w:t xml:space="preserve">Some patients attended primary and secondary care (acutely) very frequently. </w:t>
            </w:r>
          </w:p>
          <w:p w14:paraId="5A31CF69" w14:textId="0A43DAF0" w:rsidR="00E436EC" w:rsidRDefault="00E436EC" w:rsidP="00082773">
            <w:pPr>
              <w:pStyle w:val="THFBullettext"/>
              <w:numPr>
                <w:ilvl w:val="1"/>
                <w:numId w:val="34"/>
              </w:numPr>
              <w:spacing w:after="0"/>
            </w:pPr>
            <w:r>
              <w:t xml:space="preserve">There </w:t>
            </w:r>
            <w:r w:rsidR="00662C2E">
              <w:t>was a slight increase in the numbers of attendances at both primary and secondary care post intervention.</w:t>
            </w:r>
          </w:p>
          <w:p w14:paraId="6832E444" w14:textId="6735ACA5" w:rsidR="00662C2E" w:rsidRDefault="00662C2E" w:rsidP="00082773">
            <w:pPr>
              <w:pStyle w:val="THFBullettext"/>
              <w:numPr>
                <w:ilvl w:val="1"/>
                <w:numId w:val="34"/>
              </w:numPr>
              <w:spacing w:after="0"/>
            </w:pPr>
            <w:r>
              <w:t>The primary care increase can be linked to increased awareness</w:t>
            </w:r>
          </w:p>
          <w:p w14:paraId="16445699" w14:textId="6FC71FE7" w:rsidR="00662C2E" w:rsidRDefault="00662C2E" w:rsidP="00662C2E">
            <w:pPr>
              <w:pStyle w:val="THFBullettext"/>
              <w:numPr>
                <w:ilvl w:val="1"/>
                <w:numId w:val="34"/>
              </w:numPr>
              <w:spacing w:after="0"/>
            </w:pPr>
            <w:r>
              <w:t>We do not think that there the slight increase in secondary care attendances is as likely to be linked to our intervention.</w:t>
            </w:r>
          </w:p>
          <w:p w14:paraId="4C17887B" w14:textId="77777777" w:rsidR="004E5D1E" w:rsidRDefault="004E5D1E" w:rsidP="00D84CEF">
            <w:pPr>
              <w:pStyle w:val="THFBullettext"/>
              <w:numPr>
                <w:ilvl w:val="0"/>
                <w:numId w:val="0"/>
              </w:numPr>
              <w:spacing w:after="0"/>
            </w:pPr>
          </w:p>
          <w:tbl>
            <w:tblPr>
              <w:tblStyle w:val="TableGrid"/>
              <w:tblW w:w="0" w:type="auto"/>
              <w:tblLook w:val="04A0" w:firstRow="1" w:lastRow="0" w:firstColumn="1" w:lastColumn="0" w:noHBand="0" w:noVBand="1"/>
            </w:tblPr>
            <w:tblGrid>
              <w:gridCol w:w="2930"/>
              <w:gridCol w:w="2930"/>
              <w:gridCol w:w="2930"/>
            </w:tblGrid>
            <w:tr w:rsidR="005747F7" w14:paraId="418DA4CE" w14:textId="77777777" w:rsidTr="007A6234">
              <w:tc>
                <w:tcPr>
                  <w:tcW w:w="2930" w:type="dxa"/>
                </w:tcPr>
                <w:p w14:paraId="1A5D89B1" w14:textId="0F820DF0" w:rsidR="005747F7" w:rsidRDefault="004879E9" w:rsidP="00D84CEF">
                  <w:pPr>
                    <w:pStyle w:val="THFBullettext"/>
                    <w:numPr>
                      <w:ilvl w:val="0"/>
                      <w:numId w:val="0"/>
                    </w:numPr>
                    <w:spacing w:after="0"/>
                  </w:pPr>
                  <w:r>
                    <w:t>Average per patient</w:t>
                  </w:r>
                </w:p>
              </w:tc>
              <w:tc>
                <w:tcPr>
                  <w:tcW w:w="2930" w:type="dxa"/>
                </w:tcPr>
                <w:p w14:paraId="035902FC" w14:textId="3E59E972" w:rsidR="005747F7" w:rsidRDefault="005747F7" w:rsidP="00D84CEF">
                  <w:pPr>
                    <w:pStyle w:val="THFBullettext"/>
                    <w:numPr>
                      <w:ilvl w:val="0"/>
                      <w:numId w:val="0"/>
                    </w:numPr>
                    <w:spacing w:after="0"/>
                  </w:pPr>
                  <w:r>
                    <w:t>Pre Intervention</w:t>
                  </w:r>
                </w:p>
              </w:tc>
              <w:tc>
                <w:tcPr>
                  <w:tcW w:w="2930" w:type="dxa"/>
                </w:tcPr>
                <w:p w14:paraId="08D430E0" w14:textId="45FB455A" w:rsidR="005747F7" w:rsidRDefault="005747F7" w:rsidP="00D84CEF">
                  <w:pPr>
                    <w:pStyle w:val="THFBullettext"/>
                    <w:numPr>
                      <w:ilvl w:val="0"/>
                      <w:numId w:val="0"/>
                    </w:numPr>
                    <w:spacing w:after="0"/>
                  </w:pPr>
                  <w:r>
                    <w:t>Post Intervention</w:t>
                  </w:r>
                </w:p>
              </w:tc>
            </w:tr>
            <w:tr w:rsidR="005747F7" w14:paraId="3A581165" w14:textId="77777777" w:rsidTr="007A6234">
              <w:tc>
                <w:tcPr>
                  <w:tcW w:w="2930" w:type="dxa"/>
                </w:tcPr>
                <w:p w14:paraId="6769DFBC" w14:textId="6666D188" w:rsidR="005747F7" w:rsidRDefault="004879E9" w:rsidP="00D84CEF">
                  <w:pPr>
                    <w:pStyle w:val="THFBullettext"/>
                    <w:numPr>
                      <w:ilvl w:val="0"/>
                      <w:numId w:val="0"/>
                    </w:numPr>
                    <w:spacing w:after="0"/>
                  </w:pPr>
                  <w:r>
                    <w:t>No of admissions with COPD</w:t>
                  </w:r>
                </w:p>
              </w:tc>
              <w:tc>
                <w:tcPr>
                  <w:tcW w:w="2930" w:type="dxa"/>
                </w:tcPr>
                <w:p w14:paraId="71F8404F" w14:textId="1513EFAC" w:rsidR="005747F7" w:rsidRDefault="00EE5FEB" w:rsidP="00D84CEF">
                  <w:pPr>
                    <w:pStyle w:val="THFBullettext"/>
                    <w:numPr>
                      <w:ilvl w:val="0"/>
                      <w:numId w:val="0"/>
                    </w:numPr>
                    <w:spacing w:after="0"/>
                  </w:pPr>
                  <w:r>
                    <w:t>0.15</w:t>
                  </w:r>
                </w:p>
              </w:tc>
              <w:tc>
                <w:tcPr>
                  <w:tcW w:w="2930" w:type="dxa"/>
                </w:tcPr>
                <w:p w14:paraId="5BC80FDB" w14:textId="687AF961" w:rsidR="005747F7" w:rsidRDefault="00EE5FEB" w:rsidP="00D84CEF">
                  <w:pPr>
                    <w:pStyle w:val="THFBullettext"/>
                    <w:numPr>
                      <w:ilvl w:val="0"/>
                      <w:numId w:val="0"/>
                    </w:numPr>
                    <w:spacing w:after="0"/>
                  </w:pPr>
                  <w:r>
                    <w:t>0.22</w:t>
                  </w:r>
                </w:p>
              </w:tc>
            </w:tr>
            <w:tr w:rsidR="005747F7" w14:paraId="45C3A931" w14:textId="77777777" w:rsidTr="007A6234">
              <w:tc>
                <w:tcPr>
                  <w:tcW w:w="2930" w:type="dxa"/>
                </w:tcPr>
                <w:p w14:paraId="766A47CE" w14:textId="17FACBF5" w:rsidR="005747F7" w:rsidRDefault="00EE5FEB" w:rsidP="00D84CEF">
                  <w:pPr>
                    <w:pStyle w:val="THFBullettext"/>
                    <w:numPr>
                      <w:ilvl w:val="0"/>
                      <w:numId w:val="0"/>
                    </w:numPr>
                    <w:spacing w:after="0"/>
                  </w:pPr>
                  <w:r>
                    <w:t>Length of Stay</w:t>
                  </w:r>
                </w:p>
              </w:tc>
              <w:tc>
                <w:tcPr>
                  <w:tcW w:w="2930" w:type="dxa"/>
                </w:tcPr>
                <w:p w14:paraId="5FA01CF1" w14:textId="42D7A2AA" w:rsidR="005747F7" w:rsidRDefault="00EE5FEB" w:rsidP="00D84CEF">
                  <w:pPr>
                    <w:pStyle w:val="THFBullettext"/>
                    <w:numPr>
                      <w:ilvl w:val="0"/>
                      <w:numId w:val="0"/>
                    </w:numPr>
                    <w:spacing w:after="0"/>
                  </w:pPr>
                  <w:r>
                    <w:t>0.42</w:t>
                  </w:r>
                </w:p>
              </w:tc>
              <w:tc>
                <w:tcPr>
                  <w:tcW w:w="2930" w:type="dxa"/>
                </w:tcPr>
                <w:p w14:paraId="1C832DCF" w14:textId="10F32937" w:rsidR="005747F7" w:rsidRDefault="00EE5FEB" w:rsidP="00D84CEF">
                  <w:pPr>
                    <w:pStyle w:val="THFBullettext"/>
                    <w:numPr>
                      <w:ilvl w:val="0"/>
                      <w:numId w:val="0"/>
                    </w:numPr>
                    <w:spacing w:after="0"/>
                  </w:pPr>
                  <w:r>
                    <w:t>1.27</w:t>
                  </w:r>
                </w:p>
              </w:tc>
            </w:tr>
            <w:tr w:rsidR="005747F7" w14:paraId="2D02F119" w14:textId="77777777" w:rsidTr="007A6234">
              <w:tc>
                <w:tcPr>
                  <w:tcW w:w="2930" w:type="dxa"/>
                </w:tcPr>
                <w:p w14:paraId="72587B8E" w14:textId="6015C8E8" w:rsidR="005747F7" w:rsidRDefault="00EE5FEB" w:rsidP="00D84CEF">
                  <w:pPr>
                    <w:pStyle w:val="THFBullettext"/>
                    <w:numPr>
                      <w:ilvl w:val="0"/>
                      <w:numId w:val="0"/>
                    </w:numPr>
                    <w:spacing w:after="0"/>
                  </w:pPr>
                  <w:r>
                    <w:t>No of ED attendances</w:t>
                  </w:r>
                </w:p>
              </w:tc>
              <w:tc>
                <w:tcPr>
                  <w:tcW w:w="2930" w:type="dxa"/>
                </w:tcPr>
                <w:p w14:paraId="7E7FDDBB" w14:textId="5A2B896A" w:rsidR="005747F7" w:rsidRDefault="00EE5FEB" w:rsidP="00D84CEF">
                  <w:pPr>
                    <w:pStyle w:val="THFBullettext"/>
                    <w:numPr>
                      <w:ilvl w:val="0"/>
                      <w:numId w:val="0"/>
                    </w:numPr>
                    <w:spacing w:after="0"/>
                  </w:pPr>
                  <w:r>
                    <w:t>0.25</w:t>
                  </w:r>
                </w:p>
              </w:tc>
              <w:tc>
                <w:tcPr>
                  <w:tcW w:w="2930" w:type="dxa"/>
                </w:tcPr>
                <w:p w14:paraId="0A6A59C8" w14:textId="5CA1975F" w:rsidR="005747F7" w:rsidRDefault="00EE5FEB" w:rsidP="00D84CEF">
                  <w:pPr>
                    <w:pStyle w:val="THFBullettext"/>
                    <w:numPr>
                      <w:ilvl w:val="0"/>
                      <w:numId w:val="0"/>
                    </w:numPr>
                    <w:spacing w:after="0"/>
                  </w:pPr>
                  <w:r>
                    <w:t>0.35</w:t>
                  </w:r>
                </w:p>
              </w:tc>
            </w:tr>
            <w:tr w:rsidR="005747F7" w14:paraId="5559C5DF" w14:textId="77777777" w:rsidTr="007A6234">
              <w:tc>
                <w:tcPr>
                  <w:tcW w:w="2930" w:type="dxa"/>
                </w:tcPr>
                <w:p w14:paraId="24BDFCA1" w14:textId="5E826474" w:rsidR="005747F7" w:rsidRDefault="00EE5FEB" w:rsidP="00D84CEF">
                  <w:pPr>
                    <w:pStyle w:val="THFBullettext"/>
                    <w:numPr>
                      <w:ilvl w:val="0"/>
                      <w:numId w:val="0"/>
                    </w:numPr>
                    <w:spacing w:after="0"/>
                  </w:pPr>
                  <w:r>
                    <w:t>No of Respiratory OP attendances</w:t>
                  </w:r>
                </w:p>
              </w:tc>
              <w:tc>
                <w:tcPr>
                  <w:tcW w:w="2930" w:type="dxa"/>
                </w:tcPr>
                <w:p w14:paraId="64E822B2" w14:textId="359EE2C4" w:rsidR="005747F7" w:rsidRDefault="00EE5FEB" w:rsidP="00D84CEF">
                  <w:pPr>
                    <w:pStyle w:val="THFBullettext"/>
                    <w:numPr>
                      <w:ilvl w:val="0"/>
                      <w:numId w:val="0"/>
                    </w:numPr>
                    <w:spacing w:after="0"/>
                  </w:pPr>
                  <w:r>
                    <w:t>1.02</w:t>
                  </w:r>
                </w:p>
              </w:tc>
              <w:tc>
                <w:tcPr>
                  <w:tcW w:w="2930" w:type="dxa"/>
                </w:tcPr>
                <w:p w14:paraId="388805F8" w14:textId="241BBC63" w:rsidR="005747F7" w:rsidRDefault="00EE5FEB" w:rsidP="00D84CEF">
                  <w:pPr>
                    <w:pStyle w:val="THFBullettext"/>
                    <w:numPr>
                      <w:ilvl w:val="0"/>
                      <w:numId w:val="0"/>
                    </w:numPr>
                    <w:spacing w:after="0"/>
                  </w:pPr>
                  <w:r>
                    <w:t>1.13</w:t>
                  </w:r>
                </w:p>
              </w:tc>
            </w:tr>
          </w:tbl>
          <w:p w14:paraId="521CAABC" w14:textId="179AE27B" w:rsidR="005C02C3" w:rsidRDefault="005C02C3" w:rsidP="00AF6A75">
            <w:pPr>
              <w:pStyle w:val="THFBullettext"/>
              <w:numPr>
                <w:ilvl w:val="0"/>
                <w:numId w:val="0"/>
              </w:numPr>
              <w:spacing w:after="0"/>
            </w:pPr>
          </w:p>
        </w:tc>
      </w:tr>
    </w:tbl>
    <w:p w14:paraId="28BD3F8C" w14:textId="7CC47DBA" w:rsidR="00174589" w:rsidRDefault="00174589">
      <w:pPr>
        <w:rPr>
          <w:rFonts w:ascii="Arial" w:eastAsiaTheme="minorEastAsia" w:hAnsi="Arial" w:cs="Arial"/>
          <w:lang w:val="en-US" w:bidi="en-US"/>
        </w:rPr>
      </w:pPr>
    </w:p>
    <w:p w14:paraId="1918530A" w14:textId="4AEF03A8" w:rsidR="005F77E8" w:rsidRDefault="005F77E8">
      <w:pPr>
        <w:rPr>
          <w:rFonts w:ascii="Arial" w:eastAsiaTheme="minorEastAsia" w:hAnsi="Arial" w:cs="Arial"/>
          <w:lang w:val="en-US" w:bidi="en-US"/>
        </w:rPr>
      </w:pPr>
    </w:p>
    <w:p w14:paraId="4E6C1C99" w14:textId="3DC6DCCB" w:rsidR="005F77E8" w:rsidRDefault="005F77E8">
      <w:pPr>
        <w:rPr>
          <w:rFonts w:ascii="Arial" w:eastAsiaTheme="minorEastAsia" w:hAnsi="Arial" w:cs="Arial"/>
          <w:lang w:val="en-US" w:bidi="en-US"/>
        </w:rPr>
      </w:pPr>
    </w:p>
    <w:p w14:paraId="11111E68" w14:textId="77777777" w:rsidR="005F77E8" w:rsidRDefault="005F77E8">
      <w:pPr>
        <w:rPr>
          <w:rFonts w:ascii="Arial" w:eastAsiaTheme="minorEastAsia" w:hAnsi="Arial" w:cs="Arial"/>
          <w:lang w:val="en-US" w:bidi="en-US"/>
        </w:rPr>
      </w:pPr>
    </w:p>
    <w:p w14:paraId="7F3BB453" w14:textId="77777777" w:rsidR="00E03096" w:rsidRPr="00E03096" w:rsidRDefault="00E03096" w:rsidP="00A57DB4">
      <w:pPr>
        <w:pStyle w:val="Heading2"/>
      </w:pPr>
      <w:bookmarkStart w:id="4" w:name="_Toc5100036"/>
      <w:r w:rsidRPr="00E03096">
        <w:lastRenderedPageBreak/>
        <w:t>Part 3: Cost impact</w:t>
      </w:r>
      <w:bookmarkEnd w:id="4"/>
    </w:p>
    <w:tbl>
      <w:tblPr>
        <w:tblStyle w:val="TableGrid"/>
        <w:tblW w:w="0" w:type="auto"/>
        <w:tblBorders>
          <w:top w:val="single" w:sz="4" w:space="0" w:color="DD0031"/>
          <w:left w:val="single" w:sz="4" w:space="0" w:color="DD0031"/>
          <w:bottom w:val="single" w:sz="4" w:space="0" w:color="DD0031"/>
          <w:right w:val="single" w:sz="4" w:space="0" w:color="DD0031"/>
          <w:insideH w:val="single" w:sz="4" w:space="0" w:color="DD0031"/>
          <w:insideV w:val="single" w:sz="4" w:space="0" w:color="DD0031"/>
        </w:tblBorders>
        <w:tblCellMar>
          <w:top w:w="57" w:type="dxa"/>
        </w:tblCellMar>
        <w:tblLook w:val="04A0" w:firstRow="1" w:lastRow="0" w:firstColumn="1" w:lastColumn="0" w:noHBand="0" w:noVBand="1"/>
      </w:tblPr>
      <w:tblGrid>
        <w:gridCol w:w="9242"/>
      </w:tblGrid>
      <w:tr w:rsidR="005C02C3" w14:paraId="73A2BA6B" w14:textId="77777777" w:rsidTr="005C02C3">
        <w:tc>
          <w:tcPr>
            <w:tcW w:w="9242" w:type="dxa"/>
          </w:tcPr>
          <w:p w14:paraId="0CB13CF8" w14:textId="757864BA" w:rsidR="006805D7" w:rsidRDefault="006551AB" w:rsidP="00FB542A">
            <w:pPr>
              <w:pStyle w:val="THFBullettext"/>
              <w:numPr>
                <w:ilvl w:val="0"/>
                <w:numId w:val="0"/>
              </w:numPr>
              <w:ind w:left="284"/>
            </w:pPr>
            <w:r>
              <w:t xml:space="preserve">Our intervention attempted to bridge </w:t>
            </w:r>
            <w:r w:rsidR="00E63140">
              <w:t xml:space="preserve">heroin smokers’ substance misuse care, commissioned by Public Health through the City Council, </w:t>
            </w:r>
            <w:r w:rsidR="001836B4">
              <w:t xml:space="preserve">to their COPD care, commissioned by LCCG. </w:t>
            </w:r>
          </w:p>
          <w:p w14:paraId="08AA7065" w14:textId="176F023E" w:rsidR="0073572A" w:rsidRDefault="0073572A" w:rsidP="0073572A">
            <w:pPr>
              <w:pStyle w:val="THFBullettext"/>
              <w:numPr>
                <w:ilvl w:val="0"/>
                <w:numId w:val="0"/>
              </w:numPr>
              <w:ind w:left="284"/>
            </w:pPr>
            <w:r>
              <w:t>We were cognisant that the duration of our intervention</w:t>
            </w:r>
            <w:r w:rsidR="009E6220">
              <w:t>, even if it were to result in all patients engaging fully with all COPD interventions,</w:t>
            </w:r>
            <w:r>
              <w:t xml:space="preserve"> would be insufficient to </w:t>
            </w:r>
            <w:r w:rsidR="00AB4A77">
              <w:t>impact</w:t>
            </w:r>
            <w:r>
              <w:t xml:space="preserve"> mortality or hospital admissions. Our key outcome measures were related to uptake of COPD interventions, all of which are evidence based and have undergone health economic analysis. </w:t>
            </w:r>
          </w:p>
          <w:p w14:paraId="33C654F2" w14:textId="05504330" w:rsidR="00643373" w:rsidRDefault="00643373" w:rsidP="00643373">
            <w:pPr>
              <w:pStyle w:val="THFBullettext"/>
              <w:numPr>
                <w:ilvl w:val="0"/>
                <w:numId w:val="0"/>
              </w:numPr>
              <w:ind w:left="284"/>
            </w:pPr>
            <w:r>
              <w:t>We did not undertake a detailed financial evaluation of our project but anticipate that the main potential cost saving for early and focussed intervention in this population will come from slowing the deterioration of COPD and consequent reductions in acute treatment costs.</w:t>
            </w:r>
          </w:p>
          <w:p w14:paraId="3A8AB2CC" w14:textId="278405E2" w:rsidR="00D7783F" w:rsidRDefault="00ED7B65" w:rsidP="00A365EB">
            <w:pPr>
              <w:pStyle w:val="THFBullettext"/>
              <w:numPr>
                <w:ilvl w:val="0"/>
                <w:numId w:val="0"/>
              </w:numPr>
              <w:ind w:left="284"/>
            </w:pPr>
            <w:r>
              <w:t xml:space="preserve">Our logic for testing </w:t>
            </w:r>
            <w:r w:rsidR="006805D7">
              <w:t>this ‘</w:t>
            </w:r>
            <w:r>
              <w:t>bridge model</w:t>
            </w:r>
            <w:r w:rsidR="006805D7">
              <w:t>’</w:t>
            </w:r>
            <w:r>
              <w:t xml:space="preserve"> was</w:t>
            </w:r>
            <w:r w:rsidR="006805D7">
              <w:t xml:space="preserve"> informed by the awareness that formal co-location would be very expensive indeed. </w:t>
            </w:r>
            <w:r w:rsidR="00F05D0F">
              <w:t>T</w:t>
            </w:r>
            <w:r w:rsidR="006805D7">
              <w:t xml:space="preserve">he </w:t>
            </w:r>
            <w:r w:rsidR="00F05D0F">
              <w:t xml:space="preserve">CCG already commission community COPD </w:t>
            </w:r>
            <w:r w:rsidR="006805D7">
              <w:t xml:space="preserve">services and a large part of the innovative nature of this project was that we were able to move pre-existing, pre-commissioned community based COPD management closer to the substance misuse clinics. </w:t>
            </w:r>
            <w:r w:rsidR="00653877">
              <w:t xml:space="preserve">The </w:t>
            </w:r>
            <w:r w:rsidR="00227144">
              <w:t xml:space="preserve">secondment of an Addaction member of staff to act as a project coordinator was </w:t>
            </w:r>
            <w:r w:rsidR="00653877">
              <w:t>not prohibitively expensive</w:t>
            </w:r>
            <w:r w:rsidR="00AA1504">
              <w:t>. She did have to exert considerable effort to</w:t>
            </w:r>
            <w:r w:rsidR="006805D7">
              <w:t xml:space="preserve"> re-configure substance misuse clinics and appointments to group clients with COPD together in order to facilitate their access to a particular aspect of COPD care.</w:t>
            </w:r>
            <w:r w:rsidR="00FC26D2">
              <w:t xml:space="preserve"> </w:t>
            </w:r>
            <w:r w:rsidR="006805D7">
              <w:t xml:space="preserve">  </w:t>
            </w:r>
          </w:p>
          <w:p w14:paraId="4E932F68" w14:textId="40B26EA8" w:rsidR="00200F05" w:rsidRDefault="00AD4511" w:rsidP="004A2EFD">
            <w:pPr>
              <w:pStyle w:val="THFBullettext"/>
              <w:numPr>
                <w:ilvl w:val="0"/>
                <w:numId w:val="0"/>
              </w:numPr>
              <w:ind w:left="284"/>
            </w:pPr>
            <w:r>
              <w:rPr>
                <w:noProof/>
                <w:lang w:eastAsia="en-GB"/>
              </w:rPr>
              <w:drawing>
                <wp:anchor distT="0" distB="0" distL="114300" distR="114300" simplePos="0" relativeHeight="251649536" behindDoc="0" locked="0" layoutInCell="1" allowOverlap="1" wp14:anchorId="781904B5" wp14:editId="1BF64C18">
                  <wp:simplePos x="0" y="0"/>
                  <wp:positionH relativeFrom="column">
                    <wp:posOffset>929640</wp:posOffset>
                  </wp:positionH>
                  <wp:positionV relativeFrom="paragraph">
                    <wp:posOffset>566420</wp:posOffset>
                  </wp:positionV>
                  <wp:extent cx="3686175" cy="2389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6175" cy="2389505"/>
                          </a:xfrm>
                          <a:prstGeom prst="rect">
                            <a:avLst/>
                          </a:prstGeom>
                        </pic:spPr>
                      </pic:pic>
                    </a:graphicData>
                  </a:graphic>
                  <wp14:sizeRelH relativeFrom="margin">
                    <wp14:pctWidth>0</wp14:pctWidth>
                  </wp14:sizeRelH>
                  <wp14:sizeRelV relativeFrom="margin">
                    <wp14:pctHeight>0</wp14:pctHeight>
                  </wp14:sizeRelV>
                </wp:anchor>
              </w:drawing>
            </w:r>
            <w:r w:rsidR="00D7783F">
              <w:t xml:space="preserve">The </w:t>
            </w:r>
            <w:r w:rsidR="00FC5B94">
              <w:t>London Respiratory Network</w:t>
            </w:r>
            <w:r>
              <w:t xml:space="preserve">’s </w:t>
            </w:r>
            <w:r w:rsidR="00200F05">
              <w:t>pyramid</w:t>
            </w:r>
            <w:r>
              <w:t xml:space="preserve">, below, </w:t>
            </w:r>
            <w:r w:rsidR="00200F05">
              <w:t>illustrate</w:t>
            </w:r>
            <w:r>
              <w:t>s</w:t>
            </w:r>
            <w:r w:rsidR="00200F05">
              <w:t xml:space="preserve"> the comparative value of interventions for COPD using cost per quality adjusted life year (QALY). </w:t>
            </w:r>
          </w:p>
          <w:p w14:paraId="184C0BC9" w14:textId="77777777" w:rsidR="004A2EFD" w:rsidRDefault="004A2EFD" w:rsidP="004A2EFD">
            <w:pPr>
              <w:pStyle w:val="THFBullettext"/>
              <w:numPr>
                <w:ilvl w:val="0"/>
                <w:numId w:val="0"/>
              </w:numPr>
              <w:ind w:left="284"/>
            </w:pPr>
          </w:p>
          <w:p w14:paraId="226045FB" w14:textId="5E7B6779" w:rsidR="002A403E" w:rsidRDefault="00AD4511" w:rsidP="005E44A4">
            <w:pPr>
              <w:pStyle w:val="THFBullettext"/>
              <w:numPr>
                <w:ilvl w:val="0"/>
                <w:numId w:val="0"/>
              </w:numPr>
              <w:ind w:left="284"/>
            </w:pPr>
            <w:r>
              <w:t xml:space="preserve">The </w:t>
            </w:r>
            <w:r w:rsidR="00A5297C">
              <w:t xml:space="preserve">uptake of flu vaccination was not increased by our 6 month intervention as it took place outside the flu season. The uptake of Stop Smoking Support was poor </w:t>
            </w:r>
            <w:r w:rsidR="00A5297C">
              <w:lastRenderedPageBreak/>
              <w:t xml:space="preserve">in our population. </w:t>
            </w:r>
          </w:p>
          <w:p w14:paraId="41D6157A" w14:textId="77777777" w:rsidR="00725432" w:rsidRDefault="00221315" w:rsidP="00221315">
            <w:pPr>
              <w:pStyle w:val="THFBullettext"/>
              <w:numPr>
                <w:ilvl w:val="0"/>
                <w:numId w:val="0"/>
              </w:numPr>
              <w:ind w:left="284"/>
            </w:pPr>
            <w:r>
              <w:t xml:space="preserve">The most successful aspect of our intervention was the uptake of CRT nurse review. </w:t>
            </w:r>
            <w:r w:rsidR="009A02CB">
              <w:t>Patients engaged extremely well and</w:t>
            </w:r>
            <w:r w:rsidR="004F619E">
              <w:t xml:space="preserve"> uptake was high (11/14 patients).</w:t>
            </w:r>
            <w:r w:rsidR="009A02CB">
              <w:t xml:space="preserve"> </w:t>
            </w:r>
          </w:p>
          <w:p w14:paraId="5D271621" w14:textId="23446710" w:rsidR="00221315" w:rsidRDefault="00221315" w:rsidP="00221315">
            <w:pPr>
              <w:pStyle w:val="THFBullettext"/>
              <w:numPr>
                <w:ilvl w:val="0"/>
                <w:numId w:val="0"/>
              </w:numPr>
              <w:ind w:left="284"/>
            </w:pPr>
            <w:r>
              <w:t>The least successful, most time consuming and, had it been specifically commissioned, most expensive aspect was PR; uptake was very poor and none of the patients completed the programme despite facilitation of access.</w:t>
            </w:r>
            <w:r w:rsidR="00725432">
              <w:t xml:space="preserve"> </w:t>
            </w:r>
            <w:r w:rsidR="00A90E88">
              <w:t>PR sessions were block booked for Addaction clients for a 4 month period at two s</w:t>
            </w:r>
            <w:r w:rsidR="009F2600">
              <w:t>ites.</w:t>
            </w:r>
            <w:r w:rsidR="00A90E88">
              <w:t xml:space="preserve"> The </w:t>
            </w:r>
            <w:r w:rsidR="009F2600">
              <w:t xml:space="preserve">sites were pre-booked as part of the pre-commissioned Breathe Programme delivered by the Liverpool Heart and Chest Hospital PR team but several patients’ appointments were moved to allow for this block booking to facilitate Addaction COPD patients’ access to PR at these sites. </w:t>
            </w:r>
            <w:r w:rsidR="007D1B69">
              <w:t xml:space="preserve">In essence we designed this aspect to make it as easy as possible to attend sessions solely for Addaction clients. </w:t>
            </w:r>
            <w:r>
              <w:t xml:space="preserve">We would not advocate reconfiguring existing PR services to target COPD patients with a history of heroin smoking specifically.  </w:t>
            </w:r>
          </w:p>
          <w:p w14:paraId="771ECCC6" w14:textId="0E13112F" w:rsidR="005C02C3" w:rsidRPr="001A5C55" w:rsidRDefault="00B53BCF" w:rsidP="001A5C55">
            <w:pPr>
              <w:pStyle w:val="THFBullettext"/>
              <w:numPr>
                <w:ilvl w:val="0"/>
                <w:numId w:val="0"/>
              </w:numPr>
              <w:ind w:left="284"/>
            </w:pPr>
            <w:r>
              <w:t>Our testing this facilitation/near co-location of various COPD interventions in a cost neutral way has allowed us to reach conclude that some aspects of our work are sustainable and potentially worthy of being spread more widely, some aspects warrant further development and/or study and that some are unlikely to be financially viable.</w:t>
            </w:r>
          </w:p>
        </w:tc>
      </w:tr>
    </w:tbl>
    <w:p w14:paraId="44D689B1" w14:textId="77777777" w:rsidR="00E03096" w:rsidRDefault="00E03096" w:rsidP="005C02C3">
      <w:pPr>
        <w:pStyle w:val="THFBodytext"/>
      </w:pPr>
    </w:p>
    <w:p w14:paraId="756D17A6" w14:textId="77777777" w:rsidR="00770723" w:rsidRDefault="00770723" w:rsidP="005C02C3">
      <w:pPr>
        <w:pStyle w:val="THFBodytext"/>
        <w:rPr>
          <w:lang w:val="en-US" w:bidi="en-US"/>
        </w:rPr>
      </w:pPr>
    </w:p>
    <w:p w14:paraId="75313F07" w14:textId="77777777" w:rsidR="00AE18AD" w:rsidRDefault="00AE18AD">
      <w:pPr>
        <w:rPr>
          <w:rFonts w:ascii="Arial" w:eastAsia="Georgia" w:hAnsi="Arial" w:cs="Arial"/>
          <w:b/>
          <w:bCs/>
          <w:color w:val="CE0832"/>
          <w:sz w:val="32"/>
          <w:szCs w:val="28"/>
          <w:highlight w:val="yellow"/>
          <w:lang w:val="en-US" w:bidi="en-US"/>
        </w:rPr>
      </w:pPr>
      <w:r>
        <w:rPr>
          <w:rFonts w:eastAsia="Georgia" w:cs="Arial"/>
          <w:b/>
          <w:bCs/>
          <w:color w:val="CE0832"/>
          <w:sz w:val="32"/>
          <w:szCs w:val="28"/>
          <w:highlight w:val="yellow"/>
        </w:rPr>
        <w:br w:type="page"/>
      </w:r>
    </w:p>
    <w:p w14:paraId="7D4BD5F7" w14:textId="77777777" w:rsidR="00AF04C7" w:rsidRDefault="005325CC" w:rsidP="00A57DB4">
      <w:pPr>
        <w:pStyle w:val="Heading2"/>
      </w:pPr>
      <w:bookmarkStart w:id="5" w:name="_Toc5100037"/>
      <w:r w:rsidRPr="000919DD">
        <w:lastRenderedPageBreak/>
        <w:t xml:space="preserve">Part 4: </w:t>
      </w:r>
      <w:r w:rsidR="00AF04C7">
        <w:t>Learning from your project</w:t>
      </w:r>
      <w:bookmarkEnd w:id="5"/>
    </w:p>
    <w:tbl>
      <w:tblPr>
        <w:tblStyle w:val="TableGrid"/>
        <w:tblW w:w="0" w:type="auto"/>
        <w:tblBorders>
          <w:top w:val="single" w:sz="4" w:space="0" w:color="DD0031"/>
          <w:left w:val="single" w:sz="4" w:space="0" w:color="DD0031"/>
          <w:bottom w:val="single" w:sz="4" w:space="0" w:color="DD0031"/>
          <w:right w:val="single" w:sz="4" w:space="0" w:color="DD0031"/>
          <w:insideH w:val="single" w:sz="4" w:space="0" w:color="DD0031"/>
          <w:insideV w:val="single" w:sz="4" w:space="0" w:color="DD0031"/>
        </w:tblBorders>
        <w:tblCellMar>
          <w:top w:w="57" w:type="dxa"/>
        </w:tblCellMar>
        <w:tblLook w:val="04A0" w:firstRow="1" w:lastRow="0" w:firstColumn="1" w:lastColumn="0" w:noHBand="0" w:noVBand="1"/>
      </w:tblPr>
      <w:tblGrid>
        <w:gridCol w:w="9242"/>
      </w:tblGrid>
      <w:tr w:rsidR="005C02C3" w14:paraId="512FB0E5" w14:textId="77777777" w:rsidTr="005C02C3">
        <w:tc>
          <w:tcPr>
            <w:tcW w:w="9242" w:type="dxa"/>
          </w:tcPr>
          <w:p w14:paraId="3AEBF4CC" w14:textId="5BF05BB2" w:rsidR="00390B11" w:rsidRDefault="00390B11" w:rsidP="00AB7AD2">
            <w:pPr>
              <w:pStyle w:val="THFBullettext"/>
              <w:numPr>
                <w:ilvl w:val="0"/>
                <w:numId w:val="0"/>
              </w:numPr>
              <w:ind w:left="152"/>
            </w:pPr>
            <w:r>
              <w:rPr>
                <w:b/>
                <w:bCs/>
              </w:rPr>
              <w:t>What we achieved</w:t>
            </w:r>
          </w:p>
          <w:p w14:paraId="5490196C" w14:textId="5EEBDB75" w:rsidR="00227EC2" w:rsidRDefault="00227EC2" w:rsidP="00AB7AD2">
            <w:pPr>
              <w:pStyle w:val="THFBullettext"/>
              <w:numPr>
                <w:ilvl w:val="0"/>
                <w:numId w:val="0"/>
              </w:numPr>
              <w:ind w:left="152"/>
            </w:pPr>
            <w:r>
              <w:t>Some years ago, we</w:t>
            </w:r>
            <w:r w:rsidR="00A60EFB">
              <w:t xml:space="preserve"> </w:t>
            </w:r>
            <w:r>
              <w:t>submitted a research grant application to test on-site</w:t>
            </w:r>
            <w:r w:rsidR="00C176B1">
              <w:t xml:space="preserve"> </w:t>
            </w:r>
            <w:r>
              <w:t>pulmonary rehabilitation at the substance misuse clinic. The grant was rejected as the reviewers did not think that patients would engage with PR. At the time, we felt that they were wrong but, having undertaken this project, we think that they may have been right. The uptake of traditional pulmonary rehabilitation in this population is incredibly lo</w:t>
            </w:r>
            <w:r w:rsidR="00237825">
              <w:t>w. Modified exercise training may have a role but the efficacy of such a programme would require independent validation.</w:t>
            </w:r>
          </w:p>
          <w:p w14:paraId="2F15D9CF" w14:textId="55E8A598" w:rsidR="001D6B86" w:rsidRDefault="009F5E31" w:rsidP="000A23A4">
            <w:pPr>
              <w:pStyle w:val="THFBullettext"/>
              <w:numPr>
                <w:ilvl w:val="0"/>
                <w:numId w:val="0"/>
              </w:numPr>
              <w:ind w:left="152" w:hanging="436"/>
            </w:pPr>
            <w:r>
              <w:t>Q</w:t>
            </w:r>
            <w:r>
              <w:tab/>
              <w:t>We</w:t>
            </w:r>
            <w:r w:rsidR="00FF7F7E">
              <w:t xml:space="preserve"> have distilled some simple </w:t>
            </w:r>
            <w:r w:rsidR="008461E3">
              <w:t xml:space="preserve">paired </w:t>
            </w:r>
            <w:r w:rsidR="00FF7F7E">
              <w:t xml:space="preserve">messages from our work which we plan to </w:t>
            </w:r>
            <w:r w:rsidR="00E41A76">
              <w:t>disseminate through well designed posters at substance misuse clinics nationally to highlight the links between drug smoking and COPD.</w:t>
            </w:r>
            <w:r w:rsidR="007C3C61">
              <w:t xml:space="preserve"> These have been </w:t>
            </w:r>
            <w:r w:rsidR="000A23A4">
              <w:t>incorporated into posters which will be displayed at Addaction substance misuse clinics (see Appendix 1).</w:t>
            </w:r>
          </w:p>
          <w:p w14:paraId="7D8E9423" w14:textId="0E46B938" w:rsidR="001D6B86" w:rsidRDefault="002B1231" w:rsidP="001D6B86">
            <w:pPr>
              <w:pStyle w:val="PlainText"/>
              <w:ind w:left="152"/>
              <w:rPr>
                <w:rFonts w:ascii="Arial" w:hAnsi="Arial" w:cs="Arial"/>
                <w:sz w:val="24"/>
                <w:szCs w:val="24"/>
              </w:rPr>
            </w:pPr>
            <w:r>
              <w:rPr>
                <w:rFonts w:ascii="Arial" w:hAnsi="Arial" w:cs="Arial"/>
                <w:sz w:val="24"/>
                <w:szCs w:val="24"/>
              </w:rPr>
              <w:t xml:space="preserve">The key to the success of this project has been the team behind it and, in particular, the Addaction coordinators, Tara Byrne and Kerry Marwood. The </w:t>
            </w:r>
            <w:r w:rsidR="00055E3F">
              <w:rPr>
                <w:rFonts w:ascii="Arial" w:hAnsi="Arial" w:cs="Arial"/>
                <w:sz w:val="24"/>
                <w:szCs w:val="24"/>
              </w:rPr>
              <w:t xml:space="preserve">individuals that co-ordinate the project on the ground and collect the data remained engaged with the concepts behind the work and were able to convey these to the clients on the ground. Also instrumental were the members of the CRT, Paul Tinnion in particular, that took part in the CRT arm of the intervention. Their empathy with these patients and ability to engage with them was vital to the extent of the uptake of CRT input. The PR team led by Sue Sutton also worked incredibly hard and engaged with the Addaction clients and their lack of uptake is in no way a reflection on Sue and the team’s efforts. The negative result in terms of PR is very valuable for planning future interventions. </w:t>
            </w:r>
          </w:p>
          <w:p w14:paraId="1DCEB280" w14:textId="4A3C4BFF" w:rsidR="00055E3F" w:rsidRDefault="00055E3F" w:rsidP="001D6B86">
            <w:pPr>
              <w:pStyle w:val="PlainText"/>
              <w:ind w:left="152"/>
              <w:rPr>
                <w:rFonts w:ascii="Arial" w:hAnsi="Arial" w:cs="Arial"/>
                <w:sz w:val="24"/>
                <w:szCs w:val="24"/>
              </w:rPr>
            </w:pPr>
          </w:p>
          <w:p w14:paraId="723DB0E9" w14:textId="77777777" w:rsidR="00FA25EE" w:rsidRDefault="003C3AF3" w:rsidP="001D6B86">
            <w:pPr>
              <w:pStyle w:val="PlainText"/>
              <w:ind w:left="152"/>
              <w:rPr>
                <w:rFonts w:ascii="Arial" w:hAnsi="Arial" w:cs="Arial"/>
                <w:sz w:val="24"/>
                <w:szCs w:val="24"/>
              </w:rPr>
            </w:pPr>
            <w:r>
              <w:rPr>
                <w:rFonts w:ascii="Arial" w:hAnsi="Arial" w:cs="Arial"/>
                <w:sz w:val="24"/>
                <w:szCs w:val="24"/>
              </w:rPr>
              <w:t xml:space="preserve">The core team members </w:t>
            </w:r>
            <w:r w:rsidR="004D35E2">
              <w:rPr>
                <w:rFonts w:ascii="Arial" w:hAnsi="Arial" w:cs="Arial"/>
                <w:sz w:val="24"/>
                <w:szCs w:val="24"/>
              </w:rPr>
              <w:t>had worked together previously and were familiar with the burden of respiratory disease in patients with a history of heroin smoking. Regular meetings, monthly for the first 9 months of the project helped maintain the wider team’s enthusiasm and helped to develop the project.</w:t>
            </w:r>
          </w:p>
          <w:p w14:paraId="24C1F33D" w14:textId="77777777" w:rsidR="00FA25EE" w:rsidRPr="00A30DCF" w:rsidRDefault="00FA25EE" w:rsidP="001D6B86">
            <w:pPr>
              <w:pStyle w:val="PlainText"/>
              <w:ind w:left="152"/>
              <w:rPr>
                <w:rFonts w:ascii="Arial" w:hAnsi="Arial" w:cs="Arial"/>
                <w:b/>
                <w:bCs/>
                <w:sz w:val="24"/>
                <w:szCs w:val="24"/>
              </w:rPr>
            </w:pPr>
          </w:p>
          <w:p w14:paraId="1A3F2A6C" w14:textId="7561236E" w:rsidR="00D271A3" w:rsidRPr="00A30DCF" w:rsidRDefault="00D271A3" w:rsidP="001D6B86">
            <w:pPr>
              <w:pStyle w:val="PlainText"/>
              <w:ind w:left="152"/>
              <w:rPr>
                <w:rFonts w:ascii="Arial" w:hAnsi="Arial" w:cs="Arial"/>
                <w:b/>
                <w:bCs/>
                <w:sz w:val="24"/>
                <w:szCs w:val="24"/>
              </w:rPr>
            </w:pPr>
            <w:r w:rsidRPr="00A30DCF">
              <w:rPr>
                <w:rFonts w:ascii="Arial" w:hAnsi="Arial" w:cs="Arial"/>
                <w:b/>
                <w:bCs/>
                <w:sz w:val="24"/>
                <w:szCs w:val="24"/>
              </w:rPr>
              <w:t>What we didn’t achieve and what we would have done differently</w:t>
            </w:r>
          </w:p>
          <w:p w14:paraId="54EB47D6" w14:textId="77777777" w:rsidR="00D271A3" w:rsidRDefault="00D271A3" w:rsidP="001D6B86">
            <w:pPr>
              <w:pStyle w:val="PlainText"/>
              <w:ind w:left="152"/>
              <w:rPr>
                <w:rFonts w:ascii="Arial" w:hAnsi="Arial" w:cs="Arial"/>
                <w:sz w:val="24"/>
                <w:szCs w:val="24"/>
              </w:rPr>
            </w:pPr>
          </w:p>
          <w:p w14:paraId="063C4763" w14:textId="0218452E" w:rsidR="003C3AF3" w:rsidRDefault="00D271A3" w:rsidP="001D6B86">
            <w:pPr>
              <w:pStyle w:val="PlainText"/>
              <w:ind w:left="152"/>
              <w:rPr>
                <w:rFonts w:ascii="Arial" w:hAnsi="Arial" w:cs="Arial"/>
                <w:sz w:val="24"/>
                <w:szCs w:val="24"/>
              </w:rPr>
            </w:pPr>
            <w:r>
              <w:rPr>
                <w:rFonts w:ascii="Arial" w:hAnsi="Arial" w:cs="Arial"/>
                <w:sz w:val="24"/>
                <w:szCs w:val="24"/>
              </w:rPr>
              <w:t xml:space="preserve">We had planned to measure quality of life CAT scores on patients pre and post intervention in order to measure the effect of the intervention on COPD related quality of life. We were unable to assess this accurately post intervention, largely due to the fact that the intervention was not started on all individuals at the same time. </w:t>
            </w:r>
            <w:r w:rsidR="004D35E2">
              <w:rPr>
                <w:rFonts w:ascii="Arial" w:hAnsi="Arial" w:cs="Arial"/>
                <w:sz w:val="24"/>
                <w:szCs w:val="24"/>
              </w:rPr>
              <w:t xml:space="preserve"> </w:t>
            </w:r>
          </w:p>
          <w:p w14:paraId="7822AE0E" w14:textId="77777777" w:rsidR="007D1B69" w:rsidRDefault="007D1B69" w:rsidP="001D6B86">
            <w:pPr>
              <w:pStyle w:val="PlainText"/>
              <w:ind w:left="152"/>
              <w:rPr>
                <w:rFonts w:ascii="Arial" w:hAnsi="Arial" w:cs="Arial"/>
                <w:sz w:val="24"/>
                <w:szCs w:val="24"/>
              </w:rPr>
            </w:pPr>
          </w:p>
          <w:p w14:paraId="69389DE1" w14:textId="77777777" w:rsidR="00965E10" w:rsidRDefault="003B1AA7" w:rsidP="001D6B86">
            <w:pPr>
              <w:pStyle w:val="PlainText"/>
              <w:ind w:left="152"/>
              <w:rPr>
                <w:rFonts w:ascii="Arial" w:hAnsi="Arial" w:cs="Arial"/>
                <w:sz w:val="24"/>
                <w:szCs w:val="24"/>
              </w:rPr>
            </w:pPr>
            <w:r>
              <w:rPr>
                <w:rFonts w:ascii="Arial" w:hAnsi="Arial" w:cs="Arial"/>
                <w:sz w:val="24"/>
                <w:szCs w:val="24"/>
              </w:rPr>
              <w:t>Our intervention was</w:t>
            </w:r>
            <w:r w:rsidR="005536B0">
              <w:rPr>
                <w:rFonts w:ascii="Arial" w:hAnsi="Arial" w:cs="Arial"/>
                <w:sz w:val="24"/>
                <w:szCs w:val="24"/>
              </w:rPr>
              <w:t>, in retrospect,</w:t>
            </w:r>
            <w:r>
              <w:rPr>
                <w:rFonts w:ascii="Arial" w:hAnsi="Arial" w:cs="Arial"/>
                <w:sz w:val="24"/>
                <w:szCs w:val="24"/>
              </w:rPr>
              <w:t xml:space="preserve"> </w:t>
            </w:r>
            <w:r w:rsidR="005536B0">
              <w:rPr>
                <w:rFonts w:ascii="Arial" w:hAnsi="Arial" w:cs="Arial"/>
                <w:sz w:val="24"/>
                <w:szCs w:val="24"/>
              </w:rPr>
              <w:t xml:space="preserve">too multi-faceted and </w:t>
            </w:r>
            <w:r>
              <w:rPr>
                <w:rFonts w:ascii="Arial" w:hAnsi="Arial" w:cs="Arial"/>
                <w:sz w:val="24"/>
                <w:szCs w:val="24"/>
              </w:rPr>
              <w:t>targeted at too many individuals. Performing one aspect of our intervention at a time with smaller groups of participants would have allowed us to make small changes and gather more data during the project regarding participants’ thoughts as to how effective</w:t>
            </w:r>
            <w:r w:rsidR="00AD1E7F">
              <w:rPr>
                <w:rFonts w:ascii="Arial" w:hAnsi="Arial" w:cs="Arial"/>
                <w:sz w:val="24"/>
                <w:szCs w:val="24"/>
              </w:rPr>
              <w:t xml:space="preserve"> or otherwise an intervention was. </w:t>
            </w:r>
          </w:p>
          <w:p w14:paraId="76ACCF59" w14:textId="77777777" w:rsidR="00965E10" w:rsidRDefault="00965E10" w:rsidP="001D6B86">
            <w:pPr>
              <w:pStyle w:val="PlainText"/>
              <w:ind w:left="152"/>
              <w:rPr>
                <w:rFonts w:ascii="Arial" w:hAnsi="Arial" w:cs="Arial"/>
                <w:sz w:val="24"/>
                <w:szCs w:val="24"/>
              </w:rPr>
            </w:pPr>
          </w:p>
          <w:p w14:paraId="3C279328" w14:textId="77777777" w:rsidR="002A5B6E" w:rsidRDefault="00AD1E7F" w:rsidP="001D6B86">
            <w:pPr>
              <w:pStyle w:val="PlainText"/>
              <w:ind w:left="152"/>
              <w:rPr>
                <w:rFonts w:ascii="Arial" w:hAnsi="Arial" w:cs="Arial"/>
                <w:sz w:val="24"/>
                <w:szCs w:val="24"/>
              </w:rPr>
            </w:pPr>
            <w:r>
              <w:rPr>
                <w:rFonts w:ascii="Arial" w:hAnsi="Arial" w:cs="Arial"/>
                <w:sz w:val="24"/>
                <w:szCs w:val="24"/>
              </w:rPr>
              <w:t>The most complex aspect of our intervention was PR and we spent a lot of time organising client recruitment and block-booking sessions. We should, in retrospect, have modified our plans at an earlier stage, when it became apparent that none of the patients had attended more than one session, and focussed on widening CRT nurse input</w:t>
            </w:r>
            <w:r w:rsidR="005536B0">
              <w:rPr>
                <w:rFonts w:ascii="Arial" w:hAnsi="Arial" w:cs="Arial"/>
                <w:sz w:val="24"/>
                <w:szCs w:val="24"/>
              </w:rPr>
              <w:t xml:space="preserve"> or more aggressive Stop Smoking support. </w:t>
            </w:r>
            <w:r w:rsidR="000613B4">
              <w:rPr>
                <w:rFonts w:ascii="Arial" w:hAnsi="Arial" w:cs="Arial"/>
                <w:sz w:val="24"/>
                <w:szCs w:val="24"/>
              </w:rPr>
              <w:t>The lack of uptake of completion of PR was, also in retrospect, predictable. W</w:t>
            </w:r>
            <w:r w:rsidR="002A5B6E">
              <w:rPr>
                <w:rFonts w:ascii="Arial" w:hAnsi="Arial" w:cs="Arial"/>
                <w:sz w:val="24"/>
                <w:szCs w:val="24"/>
              </w:rPr>
              <w:t>e did not have an adequate strategy to mitigate for this.</w:t>
            </w:r>
          </w:p>
          <w:p w14:paraId="591C24FF" w14:textId="3FE8B1E5" w:rsidR="002A5B6E" w:rsidRDefault="002A5B6E" w:rsidP="001D6B86">
            <w:pPr>
              <w:pStyle w:val="PlainText"/>
              <w:ind w:left="152"/>
              <w:rPr>
                <w:rFonts w:ascii="Arial" w:hAnsi="Arial" w:cs="Arial"/>
                <w:sz w:val="24"/>
                <w:szCs w:val="24"/>
              </w:rPr>
            </w:pPr>
          </w:p>
          <w:p w14:paraId="5CFD78A1" w14:textId="5D815F4A" w:rsidR="00A75630" w:rsidRDefault="00AC4DE2" w:rsidP="001D6B86">
            <w:pPr>
              <w:pStyle w:val="PlainText"/>
              <w:ind w:left="152"/>
              <w:rPr>
                <w:rFonts w:ascii="Arial" w:hAnsi="Arial" w:cs="Arial"/>
                <w:sz w:val="24"/>
                <w:szCs w:val="24"/>
              </w:rPr>
            </w:pPr>
            <w:r>
              <w:rPr>
                <w:rFonts w:ascii="Arial" w:hAnsi="Arial" w:cs="Arial"/>
                <w:sz w:val="24"/>
                <w:szCs w:val="24"/>
              </w:rPr>
              <w:t xml:space="preserve">We were heavily dependent on EMIS data collection and hadn’t realised that only clinicians can access this system. This </w:t>
            </w:r>
            <w:r w:rsidR="001A0FA7">
              <w:rPr>
                <w:rFonts w:ascii="Arial" w:hAnsi="Arial" w:cs="Arial"/>
                <w:sz w:val="24"/>
                <w:szCs w:val="24"/>
              </w:rPr>
              <w:t xml:space="preserve">led to a delay in our data collection and analysis. Had we known this, we would have budgeted for a clinical fellow to undertake the data collection. Not having a dedicated clinical member of staff with adequate time for data collection led to a significant delay in collecting pre intervention data such that there was insufficient data. We </w:t>
            </w:r>
            <w:r w:rsidR="009B022D">
              <w:rPr>
                <w:rFonts w:ascii="Arial" w:hAnsi="Arial" w:cs="Arial"/>
                <w:sz w:val="24"/>
                <w:szCs w:val="24"/>
              </w:rPr>
              <w:t>managed</w:t>
            </w:r>
            <w:r w:rsidR="001A0FA7">
              <w:rPr>
                <w:rFonts w:ascii="Arial" w:hAnsi="Arial" w:cs="Arial"/>
                <w:sz w:val="24"/>
                <w:szCs w:val="24"/>
              </w:rPr>
              <w:t xml:space="preserve"> this by changing our analysis period for primary and secondary interactions as well as medication collections to a matched 6 month periods pre and peri intervention.</w:t>
            </w:r>
          </w:p>
          <w:p w14:paraId="22A10248" w14:textId="77777777" w:rsidR="00A75630" w:rsidRDefault="00A75630" w:rsidP="001D6B86">
            <w:pPr>
              <w:pStyle w:val="PlainText"/>
              <w:ind w:left="152"/>
              <w:rPr>
                <w:rFonts w:ascii="Arial" w:hAnsi="Arial" w:cs="Arial"/>
                <w:sz w:val="24"/>
                <w:szCs w:val="24"/>
              </w:rPr>
            </w:pPr>
          </w:p>
          <w:p w14:paraId="7511F2DA" w14:textId="5818CF86" w:rsidR="00A75630" w:rsidRDefault="002A5B6E" w:rsidP="009B022D">
            <w:pPr>
              <w:pStyle w:val="PlainText"/>
              <w:ind w:left="152"/>
              <w:rPr>
                <w:rFonts w:ascii="Arial" w:hAnsi="Arial" w:cs="Arial"/>
                <w:sz w:val="24"/>
                <w:szCs w:val="24"/>
              </w:rPr>
            </w:pPr>
            <w:r>
              <w:rPr>
                <w:rFonts w:ascii="Arial" w:hAnsi="Arial" w:cs="Arial"/>
                <w:sz w:val="24"/>
                <w:szCs w:val="24"/>
              </w:rPr>
              <w:t xml:space="preserve">Were we starting this project now, we would </w:t>
            </w:r>
            <w:r w:rsidR="007A6193">
              <w:rPr>
                <w:rFonts w:ascii="Arial" w:hAnsi="Arial" w:cs="Arial"/>
                <w:sz w:val="24"/>
                <w:szCs w:val="24"/>
              </w:rPr>
              <w:t xml:space="preserve">certainly </w:t>
            </w:r>
            <w:r>
              <w:rPr>
                <w:rFonts w:ascii="Arial" w:hAnsi="Arial" w:cs="Arial"/>
                <w:sz w:val="24"/>
                <w:szCs w:val="24"/>
              </w:rPr>
              <w:t xml:space="preserve">target </w:t>
            </w:r>
            <w:r w:rsidR="0093012D">
              <w:rPr>
                <w:rFonts w:ascii="Arial" w:hAnsi="Arial" w:cs="Arial"/>
                <w:sz w:val="24"/>
                <w:szCs w:val="24"/>
              </w:rPr>
              <w:t xml:space="preserve">no more than </w:t>
            </w:r>
            <w:r>
              <w:rPr>
                <w:rFonts w:ascii="Arial" w:hAnsi="Arial" w:cs="Arial"/>
                <w:sz w:val="24"/>
                <w:szCs w:val="24"/>
              </w:rPr>
              <w:t>50 patients</w:t>
            </w:r>
            <w:r w:rsidR="0093012D">
              <w:rPr>
                <w:rFonts w:ascii="Arial" w:hAnsi="Arial" w:cs="Arial"/>
                <w:sz w:val="24"/>
                <w:szCs w:val="24"/>
              </w:rPr>
              <w:t xml:space="preserve"> in total</w:t>
            </w:r>
            <w:r w:rsidR="007A6193">
              <w:rPr>
                <w:rFonts w:ascii="Arial" w:hAnsi="Arial" w:cs="Arial"/>
                <w:sz w:val="24"/>
                <w:szCs w:val="24"/>
              </w:rPr>
              <w:t>. We might</w:t>
            </w:r>
            <w:r w:rsidR="0093012D">
              <w:rPr>
                <w:rFonts w:ascii="Arial" w:hAnsi="Arial" w:cs="Arial"/>
                <w:sz w:val="24"/>
                <w:szCs w:val="24"/>
              </w:rPr>
              <w:t xml:space="preserve"> offer </w:t>
            </w:r>
            <w:r w:rsidR="002621AD">
              <w:rPr>
                <w:rFonts w:ascii="Arial" w:hAnsi="Arial" w:cs="Arial"/>
                <w:sz w:val="24"/>
                <w:szCs w:val="24"/>
              </w:rPr>
              <w:t>facilitated, close to substance misuse clinic PR</w:t>
            </w:r>
            <w:r w:rsidR="0093012D">
              <w:rPr>
                <w:rFonts w:ascii="Arial" w:hAnsi="Arial" w:cs="Arial"/>
                <w:sz w:val="24"/>
                <w:szCs w:val="24"/>
              </w:rPr>
              <w:t xml:space="preserve"> to no more than 10</w:t>
            </w:r>
            <w:r w:rsidR="002621AD">
              <w:rPr>
                <w:rFonts w:ascii="Arial" w:hAnsi="Arial" w:cs="Arial"/>
                <w:sz w:val="24"/>
                <w:szCs w:val="24"/>
              </w:rPr>
              <w:t xml:space="preserve"> patients</w:t>
            </w:r>
            <w:r w:rsidR="0093012D">
              <w:rPr>
                <w:rFonts w:ascii="Arial" w:hAnsi="Arial" w:cs="Arial"/>
                <w:sz w:val="24"/>
                <w:szCs w:val="24"/>
              </w:rPr>
              <w:t xml:space="preserve">, CRT input </w:t>
            </w:r>
            <w:r w:rsidR="002621AD">
              <w:rPr>
                <w:rFonts w:ascii="Arial" w:hAnsi="Arial" w:cs="Arial"/>
                <w:sz w:val="24"/>
                <w:szCs w:val="24"/>
              </w:rPr>
              <w:t xml:space="preserve">and review at </w:t>
            </w:r>
            <w:r w:rsidR="007A6193">
              <w:rPr>
                <w:rFonts w:ascii="Arial" w:hAnsi="Arial" w:cs="Arial"/>
                <w:sz w:val="24"/>
                <w:szCs w:val="24"/>
              </w:rPr>
              <w:t xml:space="preserve">6 </w:t>
            </w:r>
            <w:r w:rsidR="002621AD">
              <w:rPr>
                <w:rFonts w:ascii="Arial" w:hAnsi="Arial" w:cs="Arial"/>
                <w:sz w:val="24"/>
                <w:szCs w:val="24"/>
              </w:rPr>
              <w:t xml:space="preserve">months with </w:t>
            </w:r>
            <w:r w:rsidR="0043515D">
              <w:rPr>
                <w:rFonts w:ascii="Arial" w:hAnsi="Arial" w:cs="Arial"/>
                <w:sz w:val="24"/>
                <w:szCs w:val="24"/>
              </w:rPr>
              <w:t xml:space="preserve">detailed questionnaire completion pre and post intervention (EQ5D and CAT) </w:t>
            </w:r>
            <w:r w:rsidR="0093012D">
              <w:rPr>
                <w:rFonts w:ascii="Arial" w:hAnsi="Arial" w:cs="Arial"/>
                <w:sz w:val="24"/>
                <w:szCs w:val="24"/>
              </w:rPr>
              <w:t xml:space="preserve">to a further 10, and lay trainer review </w:t>
            </w:r>
            <w:r w:rsidR="00156B05">
              <w:rPr>
                <w:rFonts w:ascii="Arial" w:hAnsi="Arial" w:cs="Arial"/>
                <w:sz w:val="24"/>
                <w:szCs w:val="24"/>
              </w:rPr>
              <w:t xml:space="preserve">with questionnaires pre and post </w:t>
            </w:r>
            <w:r w:rsidR="0093012D">
              <w:rPr>
                <w:rFonts w:ascii="Arial" w:hAnsi="Arial" w:cs="Arial"/>
                <w:sz w:val="24"/>
                <w:szCs w:val="24"/>
              </w:rPr>
              <w:t>to a further 10</w:t>
            </w:r>
            <w:r w:rsidR="00DF716C">
              <w:rPr>
                <w:rFonts w:ascii="Arial" w:hAnsi="Arial" w:cs="Arial"/>
                <w:sz w:val="24"/>
                <w:szCs w:val="24"/>
              </w:rPr>
              <w:t xml:space="preserve"> and attempt to co-ordinate methadone and COPD inhaler prescriptions in the final 10 patients.</w:t>
            </w:r>
            <w:r w:rsidR="0093012D">
              <w:rPr>
                <w:rFonts w:ascii="Arial" w:hAnsi="Arial" w:cs="Arial"/>
                <w:sz w:val="24"/>
                <w:szCs w:val="24"/>
              </w:rPr>
              <w:t xml:space="preserve"> </w:t>
            </w:r>
            <w:r w:rsidR="005A02A6">
              <w:rPr>
                <w:rFonts w:ascii="Arial" w:hAnsi="Arial" w:cs="Arial"/>
                <w:sz w:val="24"/>
                <w:szCs w:val="24"/>
              </w:rPr>
              <w:t>We would be more supple</w:t>
            </w:r>
            <w:r w:rsidR="00E52B44">
              <w:rPr>
                <w:rFonts w:ascii="Arial" w:hAnsi="Arial" w:cs="Arial"/>
                <w:sz w:val="24"/>
                <w:szCs w:val="24"/>
              </w:rPr>
              <w:t xml:space="preserve"> and react quicker to poor uptake. We would spend less time intervening and more time measuring outcomes.</w:t>
            </w:r>
          </w:p>
          <w:p w14:paraId="1AF71E84" w14:textId="155A7ECE" w:rsidR="00D4284D" w:rsidRDefault="00D4284D" w:rsidP="001D6B86">
            <w:pPr>
              <w:pStyle w:val="PlainText"/>
              <w:ind w:left="152"/>
              <w:rPr>
                <w:rFonts w:ascii="Arial" w:hAnsi="Arial" w:cs="Arial"/>
                <w:sz w:val="24"/>
                <w:szCs w:val="24"/>
              </w:rPr>
            </w:pPr>
          </w:p>
          <w:p w14:paraId="4BBF57F0" w14:textId="69DBE5AB" w:rsidR="00D4284D" w:rsidRPr="00A30DCF" w:rsidRDefault="00D4284D" w:rsidP="001D6B86">
            <w:pPr>
              <w:pStyle w:val="PlainText"/>
              <w:ind w:left="152"/>
              <w:rPr>
                <w:rFonts w:ascii="Arial" w:hAnsi="Arial" w:cs="Arial"/>
                <w:b/>
                <w:bCs/>
                <w:sz w:val="24"/>
                <w:szCs w:val="24"/>
              </w:rPr>
            </w:pPr>
            <w:r w:rsidRPr="00A30DCF">
              <w:rPr>
                <w:rFonts w:ascii="Arial" w:hAnsi="Arial" w:cs="Arial"/>
                <w:b/>
                <w:bCs/>
                <w:sz w:val="24"/>
                <w:szCs w:val="24"/>
              </w:rPr>
              <w:t xml:space="preserve">What we’ll take away from this project </w:t>
            </w:r>
          </w:p>
          <w:p w14:paraId="0E353731" w14:textId="5B6529D1" w:rsidR="003B1AA7" w:rsidRDefault="003B1AA7" w:rsidP="001D6B86">
            <w:pPr>
              <w:pStyle w:val="PlainText"/>
              <w:ind w:left="152"/>
              <w:rPr>
                <w:rFonts w:ascii="Arial" w:hAnsi="Arial" w:cs="Arial"/>
                <w:sz w:val="24"/>
                <w:szCs w:val="24"/>
              </w:rPr>
            </w:pPr>
          </w:p>
          <w:p w14:paraId="4539B05D" w14:textId="7AACD336" w:rsidR="005C02C3" w:rsidRPr="006D0183" w:rsidRDefault="00E673EC" w:rsidP="006D0183">
            <w:pPr>
              <w:pStyle w:val="PlainText"/>
              <w:ind w:left="152"/>
              <w:rPr>
                <w:rFonts w:ascii="Arial" w:hAnsi="Arial" w:cs="Arial"/>
                <w:sz w:val="24"/>
                <w:szCs w:val="24"/>
              </w:rPr>
            </w:pPr>
            <w:r>
              <w:rPr>
                <w:rFonts w:ascii="Arial" w:hAnsi="Arial" w:cs="Arial"/>
                <w:sz w:val="24"/>
                <w:szCs w:val="24"/>
              </w:rPr>
              <w:t xml:space="preserve">Co-location </w:t>
            </w:r>
            <w:r w:rsidR="008F3EFE">
              <w:rPr>
                <w:rFonts w:ascii="Arial" w:hAnsi="Arial" w:cs="Arial"/>
                <w:sz w:val="24"/>
                <w:szCs w:val="24"/>
              </w:rPr>
              <w:t xml:space="preserve">of COPD and substance misuse care warrants further investigation, </w:t>
            </w:r>
            <w:r w:rsidR="00080505">
              <w:rPr>
                <w:rFonts w:ascii="Arial" w:hAnsi="Arial" w:cs="Arial"/>
                <w:sz w:val="24"/>
                <w:szCs w:val="24"/>
              </w:rPr>
              <w:t xml:space="preserve">We will learn from this work and publish our findings in a peer review journal. We will also </w:t>
            </w:r>
            <w:r>
              <w:rPr>
                <w:rFonts w:ascii="Arial" w:hAnsi="Arial" w:cs="Arial"/>
                <w:sz w:val="24"/>
                <w:szCs w:val="24"/>
              </w:rPr>
              <w:t xml:space="preserve">build on partnerships that have been formed as a result of this work, particularly with our academic colleagues in Sheffield. We hope to qualitatively study participants in this project to provide us with further information to inform future </w:t>
            </w:r>
            <w:r w:rsidR="00860622">
              <w:rPr>
                <w:rFonts w:ascii="Arial" w:hAnsi="Arial" w:cs="Arial"/>
                <w:sz w:val="24"/>
                <w:szCs w:val="24"/>
              </w:rPr>
              <w:t>collaborative work.</w:t>
            </w:r>
          </w:p>
        </w:tc>
      </w:tr>
    </w:tbl>
    <w:p w14:paraId="2DA21FE7" w14:textId="77777777" w:rsidR="00D35008" w:rsidRDefault="00D35008" w:rsidP="005C02C3">
      <w:pPr>
        <w:pStyle w:val="THFBodytext"/>
        <w:rPr>
          <w:rFonts w:eastAsia="Georgia"/>
        </w:rPr>
      </w:pPr>
    </w:p>
    <w:p w14:paraId="3FAEAB2C" w14:textId="77777777" w:rsidR="00D35008" w:rsidRDefault="00D35008" w:rsidP="005C02C3">
      <w:pPr>
        <w:pStyle w:val="THFBodytext"/>
        <w:rPr>
          <w:rFonts w:eastAsia="Georgia"/>
        </w:rPr>
      </w:pPr>
    </w:p>
    <w:p w14:paraId="2AE9910D" w14:textId="77777777" w:rsidR="00AF04C7" w:rsidRPr="0023767E" w:rsidRDefault="00AF04C7" w:rsidP="005C02C3">
      <w:pPr>
        <w:pStyle w:val="THFBodytext"/>
        <w:rPr>
          <w:rFonts w:eastAsia="Georgia"/>
        </w:rPr>
      </w:pPr>
      <w:r w:rsidRPr="0023767E">
        <w:rPr>
          <w:rFonts w:eastAsia="Georgia"/>
        </w:rPr>
        <w:br w:type="page"/>
      </w:r>
    </w:p>
    <w:p w14:paraId="5D6E5FEF" w14:textId="5B83C883" w:rsidR="00AF04C7" w:rsidRPr="000919DD" w:rsidRDefault="00AF04C7" w:rsidP="00A57DB4">
      <w:pPr>
        <w:pStyle w:val="Heading2"/>
      </w:pPr>
      <w:bookmarkStart w:id="6" w:name="_Toc5100038"/>
      <w:r>
        <w:lastRenderedPageBreak/>
        <w:t>Part 5</w:t>
      </w:r>
      <w:r w:rsidRPr="000919DD">
        <w:t xml:space="preserve">: </w:t>
      </w:r>
      <w:r>
        <w:t>Sustainability and spread</w:t>
      </w:r>
      <w:bookmarkEnd w:id="6"/>
      <w:r w:rsidR="00C61E4C">
        <w:t xml:space="preserve"> </w:t>
      </w:r>
    </w:p>
    <w:tbl>
      <w:tblPr>
        <w:tblStyle w:val="TableGrid"/>
        <w:tblW w:w="0" w:type="auto"/>
        <w:tblBorders>
          <w:top w:val="single" w:sz="4" w:space="0" w:color="DD0031"/>
          <w:left w:val="single" w:sz="4" w:space="0" w:color="DD0031"/>
          <w:bottom w:val="single" w:sz="4" w:space="0" w:color="DD0031"/>
          <w:right w:val="single" w:sz="4" w:space="0" w:color="DD0031"/>
          <w:insideH w:val="single" w:sz="4" w:space="0" w:color="DD0031"/>
          <w:insideV w:val="single" w:sz="4" w:space="0" w:color="DD0031"/>
        </w:tblBorders>
        <w:tblCellMar>
          <w:top w:w="57" w:type="dxa"/>
        </w:tblCellMar>
        <w:tblLook w:val="04A0" w:firstRow="1" w:lastRow="0" w:firstColumn="1" w:lastColumn="0" w:noHBand="0" w:noVBand="1"/>
      </w:tblPr>
      <w:tblGrid>
        <w:gridCol w:w="9242"/>
      </w:tblGrid>
      <w:tr w:rsidR="005C02C3" w14:paraId="36D8545A" w14:textId="77777777" w:rsidTr="005C02C3">
        <w:tc>
          <w:tcPr>
            <w:tcW w:w="9242" w:type="dxa"/>
          </w:tcPr>
          <w:p w14:paraId="02ECD450" w14:textId="1A1256BD" w:rsidR="00E96900" w:rsidRPr="00E8221C" w:rsidRDefault="00E8221C" w:rsidP="00E8221C">
            <w:pPr>
              <w:pStyle w:val="THFBullettext"/>
              <w:numPr>
                <w:ilvl w:val="0"/>
                <w:numId w:val="0"/>
              </w:numPr>
              <w:ind w:left="284"/>
              <w:rPr>
                <w:b/>
                <w:bCs/>
              </w:rPr>
            </w:pPr>
            <w:r w:rsidRPr="00E8221C">
              <w:rPr>
                <w:b/>
                <w:bCs/>
              </w:rPr>
              <w:t>Sustainability</w:t>
            </w:r>
          </w:p>
          <w:p w14:paraId="2EABDF5E" w14:textId="27987792" w:rsidR="00FE32AB" w:rsidRDefault="004F5B3B" w:rsidP="00E96900">
            <w:pPr>
              <w:pStyle w:val="THFBullettext"/>
              <w:numPr>
                <w:ilvl w:val="0"/>
                <w:numId w:val="0"/>
              </w:numPr>
              <w:ind w:left="284"/>
            </w:pPr>
            <w:r>
              <w:t xml:space="preserve">The CRT will offer ongoing support </w:t>
            </w:r>
            <w:r w:rsidR="00AC55C4">
              <w:t xml:space="preserve">on-site </w:t>
            </w:r>
            <w:r>
              <w:t>to Addaction clients during the summer months</w:t>
            </w:r>
            <w:r w:rsidR="004D2F85">
              <w:t xml:space="preserve"> </w:t>
            </w:r>
            <w:r w:rsidR="009A7E9B">
              <w:t>in coming years</w:t>
            </w:r>
            <w:r w:rsidR="00F07BDC">
              <w:t xml:space="preserve">. CRT nurses can provide support in all aspects of COPD management: Stop smoking advice, inhaler technique checking and correction, COPD education and provision of written information, medication checks and prescriptions for COPD medications, education around vaccination and PR, referral to PR, dietary advice and referral to support groups. </w:t>
            </w:r>
            <w:r w:rsidR="001D6C52">
              <w:t xml:space="preserve">Less successful aspects of our intervention, </w:t>
            </w:r>
            <w:r w:rsidR="00FB6AE5">
              <w:t xml:space="preserve">dedicated PR sessions </w:t>
            </w:r>
            <w:r w:rsidR="001D6C52">
              <w:t>in particular</w:t>
            </w:r>
            <w:r w:rsidR="00FB6AE5">
              <w:t xml:space="preserve">, will not be continued </w:t>
            </w:r>
            <w:r w:rsidR="00DB477D">
              <w:t>due</w:t>
            </w:r>
            <w:r w:rsidR="00FB6AE5">
              <w:t xml:space="preserve"> to the lack of uptake. Patient’s feedback as to the lack of uptake was collected </w:t>
            </w:r>
            <w:r w:rsidR="008002BD">
              <w:t xml:space="preserve">as part of our project. One of the key reasons for non attendance was </w:t>
            </w:r>
            <w:r w:rsidR="00DB477D">
              <w:t xml:space="preserve">that patients were embarrassed by the extent of their breathlessness. Further explorations of </w:t>
            </w:r>
            <w:r w:rsidR="0002725D">
              <w:t xml:space="preserve">targeted </w:t>
            </w:r>
            <w:r w:rsidR="00DB477D">
              <w:t>exercise intervention in this group</w:t>
            </w:r>
            <w:r w:rsidR="0002725D">
              <w:t xml:space="preserve"> may be warranted and patients that are willing to participate in PR can be referred to currently commissioned sessions via CRT nurses.</w:t>
            </w:r>
          </w:p>
          <w:p w14:paraId="55017E6D" w14:textId="32E69C51" w:rsidR="0002725D" w:rsidRDefault="002620E2" w:rsidP="0038609C">
            <w:pPr>
              <w:pStyle w:val="THFBullettext"/>
              <w:numPr>
                <w:ilvl w:val="0"/>
                <w:numId w:val="0"/>
              </w:numPr>
              <w:ind w:left="284"/>
            </w:pPr>
            <w:r>
              <w:t xml:space="preserve">Our earlier work has highlighted the </w:t>
            </w:r>
            <w:r w:rsidR="009F2600">
              <w:t>prevalence</w:t>
            </w:r>
            <w:r>
              <w:t xml:space="preserve"> of COPD in patients with a history of drug smoking. In light of this, Addaction have purchased two spirometry machines and will offer this test to new patients. Those with spirometry that is anything other than normal will be referred for formal testing</w:t>
            </w:r>
            <w:r w:rsidR="00465CCF">
              <w:t xml:space="preserve">. Addaction </w:t>
            </w:r>
            <w:r w:rsidR="007C718F">
              <w:t xml:space="preserve">will attempt to group together patients with spirometry suggestive of COPD and </w:t>
            </w:r>
            <w:r w:rsidR="00725432">
              <w:t>liaise with the community spirometry service to arrange ad hoc on-site spirometry sessions. T</w:t>
            </w:r>
            <w:r>
              <w:t>hose newly diagnosed with COPD will be eligible for CRT nurse review.</w:t>
            </w:r>
            <w:r w:rsidR="00465CCF">
              <w:t xml:space="preserve"> </w:t>
            </w:r>
          </w:p>
          <w:p w14:paraId="54079AE1" w14:textId="057BBBD0" w:rsidR="004C5593" w:rsidRDefault="004C5593" w:rsidP="0038609C">
            <w:pPr>
              <w:pStyle w:val="THFBullettext"/>
              <w:numPr>
                <w:ilvl w:val="0"/>
                <w:numId w:val="0"/>
              </w:numPr>
              <w:ind w:left="284"/>
            </w:pPr>
            <w:r>
              <w:t xml:space="preserve">The support for this ongoing input was gained </w:t>
            </w:r>
            <w:r w:rsidR="00415176">
              <w:t xml:space="preserve">through Sue Renwick’s involvement in the project. In addition, the CRT nurses that took part in the intervention greatly enjoyed working with this group of patients and felt that, amongst those that engaged, there was a lot that they could achieve. </w:t>
            </w:r>
          </w:p>
          <w:p w14:paraId="76E0DF32" w14:textId="7E2A1F7C" w:rsidR="00415176" w:rsidRDefault="0004214F" w:rsidP="0038609C">
            <w:pPr>
              <w:pStyle w:val="THFBullettext"/>
              <w:numPr>
                <w:ilvl w:val="0"/>
                <w:numId w:val="0"/>
              </w:numPr>
              <w:ind w:left="284"/>
            </w:pPr>
            <w:r>
              <w:t>The CRT and PR staff reported</w:t>
            </w:r>
            <w:r w:rsidR="00415176">
              <w:t xml:space="preserve"> to the project management meetings that a lot of the problems patients w</w:t>
            </w:r>
            <w:r>
              <w:t xml:space="preserve">ere reporting were </w:t>
            </w:r>
            <w:r w:rsidR="00415176">
              <w:t xml:space="preserve">social in nature. Often, patients reported that finances limited their ability to attend multiple appointments. Liverpool CCG fund </w:t>
            </w:r>
            <w:r w:rsidR="008D54BA">
              <w:t xml:space="preserve">the </w:t>
            </w:r>
            <w:r w:rsidR="00415176">
              <w:t>Advice on Prescription</w:t>
            </w:r>
            <w:r w:rsidR="008D54BA">
              <w:t xml:space="preserve"> service</w:t>
            </w:r>
            <w:r w:rsidR="00415176">
              <w:t xml:space="preserve"> (AoP) which was launched in 2014 in partnership with South Liverpool Citizens’ Advice Bureau.</w:t>
            </w:r>
            <w:r w:rsidR="009726F7">
              <w:t xml:space="preserve"> AoP</w:t>
            </w:r>
            <w:r w:rsidR="008D54BA">
              <w:t xml:space="preserve"> advisors can provide assistance on issues such as homelessness, housing and benefits.</w:t>
            </w:r>
            <w:r w:rsidR="00415176">
              <w:t xml:space="preserve"> </w:t>
            </w:r>
            <w:r w:rsidR="003F19B9">
              <w:t>We</w:t>
            </w:r>
            <w:r w:rsidR="00754986">
              <w:t xml:space="preserve"> aim to </w:t>
            </w:r>
            <w:r w:rsidR="003F19B9">
              <w:t xml:space="preserve">arrange AoP visits to Addaction sites in the future in the hope that </w:t>
            </w:r>
            <w:r w:rsidR="00734E94">
              <w:t xml:space="preserve">addressing some of these issues will allow patients to better prioritise their healthcare needs. </w:t>
            </w:r>
          </w:p>
          <w:p w14:paraId="6516F667" w14:textId="77777777" w:rsidR="0004214F" w:rsidRDefault="0004214F" w:rsidP="00E8221C">
            <w:pPr>
              <w:pStyle w:val="THFBullettext"/>
              <w:numPr>
                <w:ilvl w:val="0"/>
                <w:numId w:val="0"/>
              </w:numPr>
              <w:ind w:left="284"/>
              <w:rPr>
                <w:b/>
                <w:bCs/>
              </w:rPr>
            </w:pPr>
          </w:p>
          <w:p w14:paraId="3CF7B738" w14:textId="77777777" w:rsidR="0004214F" w:rsidRDefault="0004214F" w:rsidP="00C81AF6">
            <w:pPr>
              <w:pStyle w:val="THFBullettext"/>
              <w:numPr>
                <w:ilvl w:val="0"/>
                <w:numId w:val="0"/>
              </w:numPr>
              <w:rPr>
                <w:b/>
                <w:bCs/>
              </w:rPr>
            </w:pPr>
          </w:p>
          <w:p w14:paraId="74723EBF" w14:textId="3ACF4F40" w:rsidR="005B2748" w:rsidRPr="002A761E" w:rsidRDefault="005B2748" w:rsidP="00E8221C">
            <w:pPr>
              <w:pStyle w:val="THFBullettext"/>
              <w:numPr>
                <w:ilvl w:val="0"/>
                <w:numId w:val="0"/>
              </w:numPr>
              <w:ind w:left="284"/>
              <w:rPr>
                <w:b/>
                <w:bCs/>
              </w:rPr>
            </w:pPr>
            <w:r w:rsidRPr="002A761E">
              <w:rPr>
                <w:b/>
                <w:bCs/>
              </w:rPr>
              <w:lastRenderedPageBreak/>
              <w:t xml:space="preserve">External interest </w:t>
            </w:r>
          </w:p>
          <w:p w14:paraId="68E88EBD" w14:textId="3106C8AA" w:rsidR="00897DF8" w:rsidRDefault="00F419A2" w:rsidP="00E7430E">
            <w:pPr>
              <w:pStyle w:val="THFBullettext"/>
              <w:numPr>
                <w:ilvl w:val="0"/>
                <w:numId w:val="0"/>
              </w:numPr>
              <w:ind w:left="284"/>
            </w:pPr>
            <w:r>
              <w:t xml:space="preserve">Our work has received interest from the local media and from colleagues </w:t>
            </w:r>
            <w:r w:rsidR="0004214F">
              <w:t xml:space="preserve">around the country </w:t>
            </w:r>
            <w:r>
              <w:t xml:space="preserve">with an interest in improving access to respiratory healthcare in hard to reach populations. </w:t>
            </w:r>
          </w:p>
          <w:p w14:paraId="2286868F" w14:textId="5BD45A77" w:rsidR="002620E2" w:rsidRDefault="0004214F" w:rsidP="0004214F">
            <w:pPr>
              <w:pStyle w:val="THFBullettext"/>
              <w:numPr>
                <w:ilvl w:val="0"/>
                <w:numId w:val="0"/>
              </w:numPr>
              <w:spacing w:after="0"/>
              <w:ind w:left="284"/>
            </w:pPr>
            <w:r>
              <w:t xml:space="preserve">We plan to work with </w:t>
            </w:r>
            <w:r w:rsidR="002C7CEC">
              <w:t xml:space="preserve">Caroline Mitchell and Joe Hullin, </w:t>
            </w:r>
            <w:r w:rsidR="00474936">
              <w:t xml:space="preserve">fellow </w:t>
            </w:r>
            <w:r w:rsidR="00F419A2">
              <w:t xml:space="preserve">researchers </w:t>
            </w:r>
            <w:r w:rsidR="002C7CEC">
              <w:t>based in</w:t>
            </w:r>
            <w:r w:rsidR="00F419A2">
              <w:t xml:space="preserve"> Sheffield </w:t>
            </w:r>
            <w:r w:rsidR="00474936">
              <w:t>who h</w:t>
            </w:r>
            <w:r>
              <w:t xml:space="preserve">ave also published in this area, and use </w:t>
            </w:r>
            <w:r w:rsidR="00474936">
              <w:t xml:space="preserve">some of the money we </w:t>
            </w:r>
            <w:r>
              <w:t xml:space="preserve">have left over from this grant </w:t>
            </w:r>
            <w:r w:rsidR="0066031C">
              <w:t xml:space="preserve">to </w:t>
            </w:r>
            <w:r>
              <w:t>deliver</w:t>
            </w:r>
            <w:r w:rsidR="0066031C" w:rsidRPr="00615C60">
              <w:t xml:space="preserve"> a qualitative assessment </w:t>
            </w:r>
            <w:r>
              <w:t>of our work</w:t>
            </w:r>
            <w:r w:rsidR="0066031C" w:rsidRPr="00615C60">
              <w:t>. We aim to recruit participants from our celebration events</w:t>
            </w:r>
            <w:r w:rsidR="004B00AA">
              <w:t xml:space="preserve"> in February 2019</w:t>
            </w:r>
            <w:r w:rsidR="0066031C" w:rsidRPr="00615C60">
              <w:t xml:space="preserve"> to attend a works</w:t>
            </w:r>
            <w:r>
              <w:t>hop where our researchers can explore</w:t>
            </w:r>
            <w:r w:rsidR="0066031C" w:rsidRPr="00615C60">
              <w:t xml:space="preserve"> their views</w:t>
            </w:r>
            <w:r>
              <w:t xml:space="preserve"> on our intervention and </w:t>
            </w:r>
            <w:r w:rsidR="0066031C" w:rsidRPr="00615C60">
              <w:t>their respiratory problems</w:t>
            </w:r>
            <w:r w:rsidR="0066031C">
              <w:t xml:space="preserve"> more broadly</w:t>
            </w:r>
            <w:r w:rsidR="0066031C" w:rsidRPr="00615C60">
              <w:t>.</w:t>
            </w:r>
            <w:r w:rsidR="0066031C">
              <w:t xml:space="preserve"> We will also arrange for key stakeholders (Addaction key workers, GPs, Respiratory physicians, CRT nurses) to be interviewed with a view to publishing our findings and building the evidence base to support the</w:t>
            </w:r>
            <w:r w:rsidR="0066031C" w:rsidRPr="00615C60">
              <w:t xml:space="preserve"> future</w:t>
            </w:r>
            <w:r w:rsidR="0066031C">
              <w:t xml:space="preserve"> development of a </w:t>
            </w:r>
            <w:r w:rsidR="0066031C" w:rsidRPr="00615C60">
              <w:t>complex intervention</w:t>
            </w:r>
            <w:r w:rsidR="0066031C">
              <w:t>.</w:t>
            </w:r>
          </w:p>
          <w:p w14:paraId="51F8FFAC" w14:textId="77777777" w:rsidR="00821AE8" w:rsidRDefault="00821AE8" w:rsidP="002A761E">
            <w:pPr>
              <w:pStyle w:val="THFBullettext"/>
              <w:numPr>
                <w:ilvl w:val="0"/>
                <w:numId w:val="0"/>
              </w:numPr>
              <w:spacing w:after="0"/>
              <w:ind w:left="284"/>
            </w:pPr>
          </w:p>
          <w:p w14:paraId="42D8752A" w14:textId="362A5C85" w:rsidR="00EA40D4" w:rsidRDefault="00F830F1" w:rsidP="002A761E">
            <w:pPr>
              <w:pStyle w:val="THFBullettext"/>
              <w:numPr>
                <w:ilvl w:val="0"/>
                <w:numId w:val="0"/>
              </w:numPr>
              <w:spacing w:after="0"/>
              <w:ind w:left="284"/>
            </w:pPr>
            <w:r>
              <w:t xml:space="preserve">Our description of </w:t>
            </w:r>
            <w:r w:rsidR="002A761E">
              <w:t>the</w:t>
            </w:r>
            <w:r>
              <w:t xml:space="preserve"> intervention has evolved as </w:t>
            </w:r>
            <w:r w:rsidR="00E13EFA">
              <w:t>we have seen</w:t>
            </w:r>
            <w:r w:rsidR="00041ED5">
              <w:t xml:space="preserve"> which aspects worked </w:t>
            </w:r>
            <w:r>
              <w:t>during its implementation. We originally thought of the main part of the intervention as a bridge between t</w:t>
            </w:r>
            <w:r w:rsidR="00894924">
              <w:t>he substance misuse service and community COPD services but, given the success of the CRT input in particular, now see the intervention as a partial co-location of COPD and substance misuse services.</w:t>
            </w:r>
            <w:r w:rsidR="00D802A9">
              <w:t xml:space="preserve"> Such a co-location, in our opinion, warrants further study in terms of outcomes for patients and health economic analysis. </w:t>
            </w:r>
            <w:r w:rsidR="00C957F2">
              <w:t xml:space="preserve">We hope to develop such a study with our colleagues in Sheffield. </w:t>
            </w:r>
          </w:p>
          <w:p w14:paraId="0FADA37D" w14:textId="7B5F32A8" w:rsidR="00947E03" w:rsidRDefault="00947E03" w:rsidP="002A761E">
            <w:pPr>
              <w:pStyle w:val="THFBullettext"/>
              <w:numPr>
                <w:ilvl w:val="0"/>
                <w:numId w:val="0"/>
              </w:numPr>
              <w:spacing w:after="0"/>
              <w:ind w:left="284"/>
            </w:pPr>
          </w:p>
          <w:p w14:paraId="0E274D45" w14:textId="34026844" w:rsidR="002A761E" w:rsidRPr="002A761E" w:rsidRDefault="002A761E" w:rsidP="002A761E">
            <w:pPr>
              <w:pStyle w:val="THFBullettext"/>
              <w:numPr>
                <w:ilvl w:val="0"/>
                <w:numId w:val="0"/>
              </w:numPr>
              <w:spacing w:after="0"/>
              <w:ind w:left="284"/>
              <w:rPr>
                <w:b/>
                <w:bCs/>
              </w:rPr>
            </w:pPr>
            <w:r w:rsidRPr="002A761E">
              <w:rPr>
                <w:b/>
                <w:bCs/>
              </w:rPr>
              <w:t>Spread</w:t>
            </w:r>
          </w:p>
          <w:p w14:paraId="201FB493" w14:textId="4E444660" w:rsidR="002A761E" w:rsidRDefault="002A761E" w:rsidP="002A761E">
            <w:pPr>
              <w:pStyle w:val="THFBullettext"/>
              <w:numPr>
                <w:ilvl w:val="0"/>
                <w:numId w:val="0"/>
              </w:numPr>
              <w:spacing w:after="0"/>
              <w:ind w:left="284"/>
            </w:pPr>
          </w:p>
          <w:p w14:paraId="74AC920D" w14:textId="1AF97435" w:rsidR="00612AF0" w:rsidRDefault="002A6C6D" w:rsidP="00E804CC">
            <w:pPr>
              <w:pStyle w:val="THFBullettext"/>
              <w:numPr>
                <w:ilvl w:val="0"/>
                <w:numId w:val="0"/>
              </w:numPr>
              <w:spacing w:after="0"/>
              <w:ind w:left="284"/>
            </w:pPr>
            <w:r>
              <w:t xml:space="preserve">We have </w:t>
            </w:r>
            <w:r w:rsidR="0047200C">
              <w:t xml:space="preserve">distilled some simple messages from our work and are in the process of getting posters designed to convey these messages effectively. These posters will be displayed at Addaction sites </w:t>
            </w:r>
            <w:r w:rsidR="005F6836">
              <w:t>nationwide</w:t>
            </w:r>
            <w:r w:rsidR="0047200C">
              <w:t xml:space="preserve"> and be made available to other substance misuse clinics </w:t>
            </w:r>
            <w:r w:rsidR="00612AF0" w:rsidRPr="00612AF0">
              <w:t xml:space="preserve">to highlight the problem of </w:t>
            </w:r>
            <w:r w:rsidR="0047200C">
              <w:t>h</w:t>
            </w:r>
            <w:r w:rsidR="00612AF0" w:rsidRPr="00612AF0">
              <w:t xml:space="preserve">eroin smoking associated COPD and encourage clients to seek help for their respiratory problems in the future. </w:t>
            </w:r>
          </w:p>
          <w:p w14:paraId="520F17BA" w14:textId="77777777" w:rsidR="00E804CC" w:rsidRDefault="00E804CC" w:rsidP="00445F5C">
            <w:pPr>
              <w:pStyle w:val="THFBullettext"/>
              <w:numPr>
                <w:ilvl w:val="0"/>
                <w:numId w:val="0"/>
              </w:numPr>
              <w:spacing w:after="0"/>
            </w:pPr>
          </w:p>
          <w:p w14:paraId="254A84E0" w14:textId="7161958A" w:rsidR="00BE4859" w:rsidRDefault="00E804CC" w:rsidP="00BE4859">
            <w:pPr>
              <w:pStyle w:val="THFBullettext"/>
              <w:numPr>
                <w:ilvl w:val="0"/>
                <w:numId w:val="0"/>
              </w:numPr>
              <w:spacing w:after="0"/>
              <w:ind w:left="284"/>
            </w:pPr>
            <w:r>
              <w:t>We are aware that the population</w:t>
            </w:r>
            <w:r w:rsidR="0088021C">
              <w:t xml:space="preserve"> </w:t>
            </w:r>
            <w:r>
              <w:t xml:space="preserve">we have studied is unique in that they have been comprehensively screened for COPD. A combination of screening and </w:t>
            </w:r>
            <w:r w:rsidR="00956F4D">
              <w:t xml:space="preserve">specialist </w:t>
            </w:r>
            <w:r>
              <w:t xml:space="preserve">COPD </w:t>
            </w:r>
            <w:r w:rsidR="00956F4D">
              <w:t>nurse support in</w:t>
            </w:r>
            <w:r>
              <w:t xml:space="preserve"> substance misuse</w:t>
            </w:r>
            <w:r w:rsidR="00956F4D">
              <w:t xml:space="preserve"> services</w:t>
            </w:r>
            <w:r>
              <w:t xml:space="preserve"> </w:t>
            </w:r>
            <w:r w:rsidR="00BA476D">
              <w:t xml:space="preserve">may well </w:t>
            </w:r>
            <w:r>
              <w:t xml:space="preserve">lead to improved outcomes in this at risk population. </w:t>
            </w:r>
            <w:r w:rsidR="005B099B">
              <w:t xml:space="preserve">We plan to apply for funding in the future to </w:t>
            </w:r>
            <w:r>
              <w:t>study</w:t>
            </w:r>
            <w:r w:rsidR="005B099B">
              <w:t xml:space="preserve"> the health and</w:t>
            </w:r>
            <w:r>
              <w:t xml:space="preserve"> </w:t>
            </w:r>
            <w:r w:rsidR="00F05E30">
              <w:t>health</w:t>
            </w:r>
            <w:r>
              <w:t xml:space="preserve"> economic </w:t>
            </w:r>
            <w:r w:rsidR="00445F5C">
              <w:t xml:space="preserve">outcomes of such an intervention in the future. </w:t>
            </w:r>
          </w:p>
        </w:tc>
      </w:tr>
    </w:tbl>
    <w:p w14:paraId="2428C568" w14:textId="77777777" w:rsidR="005C02C3" w:rsidRDefault="005C02C3" w:rsidP="005C02C3">
      <w:pPr>
        <w:pStyle w:val="THFBodytext"/>
      </w:pPr>
    </w:p>
    <w:p w14:paraId="4B29EFE9" w14:textId="77777777" w:rsidR="005C02C3" w:rsidRDefault="005C02C3" w:rsidP="005C02C3">
      <w:pPr>
        <w:pStyle w:val="THFBodytext"/>
      </w:pPr>
    </w:p>
    <w:p w14:paraId="22E5A246" w14:textId="77777777" w:rsidR="00770723" w:rsidRPr="005C02C3" w:rsidRDefault="00770723" w:rsidP="005C02C3">
      <w:pPr>
        <w:pStyle w:val="THFBodytext"/>
        <w:rPr>
          <w:szCs w:val="28"/>
        </w:rPr>
      </w:pPr>
      <w:r w:rsidRPr="005C02C3">
        <w:br w:type="page"/>
      </w:r>
    </w:p>
    <w:sectPr w:rsidR="00770723" w:rsidRPr="005C02C3" w:rsidSect="005C02C3">
      <w:headerReference w:type="first" r:id="rId13"/>
      <w:footerReference w:type="first" r:id="rId14"/>
      <w:pgSz w:w="11906" w:h="16838"/>
      <w:pgMar w:top="1440" w:right="1440" w:bottom="1440" w:left="1440" w:header="708" w:footer="7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9E466" w14:textId="77777777" w:rsidR="006C34B1" w:rsidRDefault="006C34B1" w:rsidP="00770723">
      <w:pPr>
        <w:spacing w:after="0" w:line="240" w:lineRule="auto"/>
      </w:pPr>
      <w:r>
        <w:separator/>
      </w:r>
    </w:p>
  </w:endnote>
  <w:endnote w:type="continuationSeparator" w:id="0">
    <w:p w14:paraId="14117685" w14:textId="77777777" w:rsidR="006C34B1" w:rsidRDefault="006C34B1" w:rsidP="0077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660E" w14:textId="0F2524D9" w:rsidR="00770723" w:rsidRPr="00EF226D" w:rsidRDefault="00770723" w:rsidP="00EF226D">
    <w:pPr>
      <w:pStyle w:val="Footer"/>
    </w:pPr>
    <w:r w:rsidRPr="00EF226D">
      <w:t>In</w:t>
    </w:r>
    <w:r w:rsidR="00991EEC">
      <w:t xml:space="preserve">novating for Improvement Round </w:t>
    </w:r>
    <w:r w:rsidR="00E75186">
      <w:t>5</w:t>
    </w:r>
    <w:r w:rsidRPr="00EF226D">
      <w:t xml:space="preserve">: </w:t>
    </w:r>
    <w:r w:rsidR="000919DD" w:rsidRPr="00EF226D">
      <w:t>final</w:t>
    </w:r>
    <w:r w:rsidRPr="00EF226D">
      <w:t xml:space="preserve"> report</w:t>
    </w:r>
    <w:r w:rsidRPr="00EF226D">
      <w:tab/>
    </w:r>
    <w:r w:rsidRPr="00EF226D">
      <w:tab/>
    </w:r>
    <w:sdt>
      <w:sdtPr>
        <w:id w:val="-1873449588"/>
        <w:docPartObj>
          <w:docPartGallery w:val="Page Numbers (Bottom of Page)"/>
          <w:docPartUnique/>
        </w:docPartObj>
      </w:sdtPr>
      <w:sdtEndPr/>
      <w:sdtContent>
        <w:r w:rsidRPr="00EF226D">
          <w:fldChar w:fldCharType="begin"/>
        </w:r>
        <w:r w:rsidRPr="00EF226D">
          <w:instrText xml:space="preserve"> PAGE   \* MERGEFORMAT </w:instrText>
        </w:r>
        <w:r w:rsidRPr="00EF226D">
          <w:fldChar w:fldCharType="separate"/>
        </w:r>
        <w:r w:rsidR="006F07B1">
          <w:rPr>
            <w:noProof/>
          </w:rPr>
          <w:t>14</w:t>
        </w:r>
        <w:r w:rsidRPr="00EF226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9CC4" w14:textId="77777777" w:rsidR="00575D16" w:rsidRDefault="00A57DB4" w:rsidP="00A57DB4">
    <w:pPr>
      <w:pStyle w:val="THFdate"/>
      <w:ind w:left="426"/>
    </w:pPr>
    <w:r>
      <w:rPr>
        <w:noProof/>
        <w:color w:val="0000FF"/>
        <w:lang w:val="en-GB" w:eastAsia="en-GB"/>
      </w:rPr>
      <w:drawing>
        <wp:anchor distT="0" distB="0" distL="114300" distR="114300" simplePos="0" relativeHeight="251659264" behindDoc="0" locked="0" layoutInCell="1" allowOverlap="1" wp14:anchorId="23E16210" wp14:editId="187BB277">
          <wp:simplePos x="0" y="0"/>
          <wp:positionH relativeFrom="column">
            <wp:posOffset>-949325</wp:posOffset>
          </wp:positionH>
          <wp:positionV relativeFrom="paragraph">
            <wp:posOffset>240277</wp:posOffset>
          </wp:positionV>
          <wp:extent cx="2778760" cy="878205"/>
          <wp:effectExtent l="0" t="0" r="2540" b="0"/>
          <wp:wrapNone/>
          <wp:docPr id="92" name="Picture 92" descr="http://i.emlfiles1.com/cmpimg/0/1/4/6/files/6810413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i.emlfiles1.com/cmpimg/0/1/4/6/files/6810413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760" cy="878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1C3B" w14:textId="77777777" w:rsidR="00A57DB4" w:rsidRPr="00A57DB4" w:rsidRDefault="00A57DB4" w:rsidP="00A57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81C9" w14:textId="77777777" w:rsidR="006C34B1" w:rsidRDefault="006C34B1" w:rsidP="00770723">
      <w:pPr>
        <w:spacing w:after="0" w:line="240" w:lineRule="auto"/>
      </w:pPr>
      <w:r>
        <w:separator/>
      </w:r>
    </w:p>
  </w:footnote>
  <w:footnote w:type="continuationSeparator" w:id="0">
    <w:p w14:paraId="4F84C1DF" w14:textId="77777777" w:rsidR="006C34B1" w:rsidRDefault="006C34B1" w:rsidP="00770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7EF2C" w14:textId="77777777" w:rsidR="00D35008" w:rsidRPr="00017A52" w:rsidRDefault="00017A52" w:rsidP="00017A52">
    <w:pPr>
      <w:pStyle w:val="THFreporttype"/>
      <w:shd w:val="clear" w:color="auto" w:fill="000000" w:themeFill="text1"/>
      <w:tabs>
        <w:tab w:val="left" w:pos="2506"/>
      </w:tabs>
      <w:rPr>
        <w:b/>
        <w:color w:val="FFFFFF" w:themeColor="background1"/>
      </w:rPr>
    </w:pPr>
    <w:r>
      <w:rPr>
        <w:b/>
        <w:color w:val="FFFFFF" w:themeColor="background1"/>
      </w:rPr>
      <w:tab/>
    </w:r>
    <w:r w:rsidR="00D35008" w:rsidRPr="00017A52">
      <w:rPr>
        <w:b/>
        <w:color w:val="FFFFFF" w:themeColor="background1"/>
      </w:rPr>
      <w:t>Final report</w:t>
    </w:r>
  </w:p>
  <w:p w14:paraId="2C1F5875" w14:textId="77777777" w:rsidR="00D35008" w:rsidRPr="00017A52" w:rsidRDefault="00017A52" w:rsidP="00017A52">
    <w:pPr>
      <w:pStyle w:val="THFdate"/>
      <w:shd w:val="clear" w:color="auto" w:fill="000000" w:themeFill="text1"/>
      <w:rPr>
        <w:color w:val="FFFFFF" w:themeColor="background1"/>
      </w:rPr>
    </w:pPr>
    <w:r>
      <w:rPr>
        <w:color w:val="FFFFFF" w:themeColor="background1"/>
      </w:rPr>
      <w:tab/>
    </w:r>
    <w:r w:rsidR="003D40CA">
      <w:rPr>
        <w:color w:val="FFFFFF" w:themeColor="background1"/>
      </w:rPr>
      <w:t>December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1ED7" w14:textId="77777777" w:rsidR="00D35008" w:rsidRPr="00017A52" w:rsidRDefault="00D35008" w:rsidP="0001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57B"/>
    <w:multiLevelType w:val="hybridMultilevel"/>
    <w:tmpl w:val="C2BE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3A1E"/>
    <w:multiLevelType w:val="hybridMultilevel"/>
    <w:tmpl w:val="861C6E66"/>
    <w:lvl w:ilvl="0" w:tplc="F566F2AC">
      <w:start w:val="1"/>
      <w:numFmt w:val="bullet"/>
      <w:lvlText w:val=""/>
      <w:lvlJc w:val="left"/>
      <w:pPr>
        <w:ind w:left="720" w:hanging="436"/>
      </w:pPr>
      <w:rPr>
        <w:rFonts w:ascii="Symbol" w:hAnsi="Symbol" w:hint="default"/>
        <w:b/>
        <w:bCs/>
        <w:i w:val="0"/>
        <w:iCs w:val="0"/>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806"/>
    <w:multiLevelType w:val="hybridMultilevel"/>
    <w:tmpl w:val="A328A020"/>
    <w:lvl w:ilvl="0" w:tplc="854047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0FE1"/>
    <w:multiLevelType w:val="hybridMultilevel"/>
    <w:tmpl w:val="C3447EDE"/>
    <w:lvl w:ilvl="0" w:tplc="F566F2AC">
      <w:start w:val="1"/>
      <w:numFmt w:val="bullet"/>
      <w:lvlText w:val=""/>
      <w:lvlJc w:val="left"/>
      <w:pPr>
        <w:ind w:left="720" w:hanging="436"/>
      </w:pPr>
      <w:rPr>
        <w:rFonts w:ascii="Symbol" w:hAnsi="Symbol" w:hint="default"/>
        <w:b/>
        <w:bCs/>
        <w:i w:val="0"/>
        <w:iCs w:val="0"/>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405A3"/>
    <w:multiLevelType w:val="hybridMultilevel"/>
    <w:tmpl w:val="F9D4F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83191"/>
    <w:multiLevelType w:val="hybridMultilevel"/>
    <w:tmpl w:val="0B1A2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C0633"/>
    <w:multiLevelType w:val="hybridMultilevel"/>
    <w:tmpl w:val="A4A8341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21FF60FA"/>
    <w:multiLevelType w:val="hybridMultilevel"/>
    <w:tmpl w:val="285CD11A"/>
    <w:lvl w:ilvl="0" w:tplc="F566F2AC">
      <w:start w:val="1"/>
      <w:numFmt w:val="bullet"/>
      <w:lvlText w:val=""/>
      <w:lvlJc w:val="left"/>
      <w:pPr>
        <w:ind w:left="720" w:hanging="436"/>
      </w:pPr>
      <w:rPr>
        <w:rFonts w:ascii="Symbol" w:hAnsi="Symbol" w:hint="default"/>
        <w:b/>
        <w:bCs/>
        <w:i w:val="0"/>
        <w:iCs w:val="0"/>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74E8A"/>
    <w:multiLevelType w:val="hybridMultilevel"/>
    <w:tmpl w:val="B02AB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F0C7B"/>
    <w:multiLevelType w:val="hybridMultilevel"/>
    <w:tmpl w:val="F0DE22B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39FB1A0B"/>
    <w:multiLevelType w:val="hybridMultilevel"/>
    <w:tmpl w:val="8B5E0EEA"/>
    <w:lvl w:ilvl="0" w:tplc="F566F2AC">
      <w:start w:val="1"/>
      <w:numFmt w:val="bullet"/>
      <w:pStyle w:val="THFBullettext"/>
      <w:lvlText w:val=""/>
      <w:lvlJc w:val="left"/>
      <w:pPr>
        <w:ind w:left="720" w:hanging="436"/>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B63B5"/>
    <w:multiLevelType w:val="hybridMultilevel"/>
    <w:tmpl w:val="B5FE79F2"/>
    <w:lvl w:ilvl="0" w:tplc="95E8623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D630B"/>
    <w:multiLevelType w:val="hybridMultilevel"/>
    <w:tmpl w:val="E5CA23A6"/>
    <w:lvl w:ilvl="0" w:tplc="F566F2AC">
      <w:start w:val="1"/>
      <w:numFmt w:val="bullet"/>
      <w:lvlText w:val=""/>
      <w:lvlJc w:val="left"/>
      <w:pPr>
        <w:ind w:left="720" w:hanging="436"/>
      </w:pPr>
      <w:rPr>
        <w:rFonts w:ascii="Symbol" w:hAnsi="Symbol" w:hint="default"/>
        <w:b/>
        <w:bCs/>
        <w:i w:val="0"/>
        <w:iCs w:val="0"/>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31E90"/>
    <w:multiLevelType w:val="hybridMultilevel"/>
    <w:tmpl w:val="75CA42DA"/>
    <w:lvl w:ilvl="0" w:tplc="0809001B">
      <w:start w:val="1"/>
      <w:numFmt w:val="lowerRoman"/>
      <w:lvlText w:val="%1."/>
      <w:lvlJc w:val="right"/>
      <w:pPr>
        <w:ind w:left="1156" w:hanging="436"/>
      </w:pPr>
      <w:rPr>
        <w:rFonts w:hint="default"/>
        <w:b/>
        <w:bCs/>
        <w:i w:val="0"/>
        <w:iCs w:val="0"/>
      </w:rPr>
    </w:lvl>
    <w:lvl w:ilvl="1" w:tplc="04090003">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4" w15:restartNumberingAfterBreak="0">
    <w:nsid w:val="44E82D5B"/>
    <w:multiLevelType w:val="hybridMultilevel"/>
    <w:tmpl w:val="7C3A5EBE"/>
    <w:lvl w:ilvl="0" w:tplc="F566F2AC">
      <w:start w:val="1"/>
      <w:numFmt w:val="bullet"/>
      <w:lvlText w:val=""/>
      <w:lvlJc w:val="left"/>
      <w:pPr>
        <w:ind w:left="720" w:hanging="436"/>
      </w:pPr>
      <w:rPr>
        <w:rFonts w:ascii="Symbol" w:hAnsi="Symbol" w:hint="default"/>
        <w:b/>
        <w:bCs/>
        <w:i w:val="0"/>
        <w:iCs w:val="0"/>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82F9A"/>
    <w:multiLevelType w:val="hybridMultilevel"/>
    <w:tmpl w:val="3DEC12FE"/>
    <w:lvl w:ilvl="0" w:tplc="F566F2AC">
      <w:start w:val="1"/>
      <w:numFmt w:val="bullet"/>
      <w:lvlText w:val=""/>
      <w:lvlJc w:val="left"/>
      <w:pPr>
        <w:ind w:left="720" w:hanging="436"/>
      </w:pPr>
      <w:rPr>
        <w:rFonts w:ascii="Symbol" w:hAnsi="Symbol" w:hint="default"/>
        <w:b/>
        <w:bCs/>
        <w:i w:val="0"/>
        <w:iCs w:val="0"/>
      </w:rPr>
    </w:lvl>
    <w:lvl w:ilvl="1" w:tplc="14AA1A8E">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B6090"/>
    <w:multiLevelType w:val="hybridMultilevel"/>
    <w:tmpl w:val="D512A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8D096F"/>
    <w:multiLevelType w:val="hybridMultilevel"/>
    <w:tmpl w:val="20CEF53E"/>
    <w:lvl w:ilvl="0" w:tplc="F566F2AC">
      <w:start w:val="1"/>
      <w:numFmt w:val="bullet"/>
      <w:lvlText w:val=""/>
      <w:lvlJc w:val="left"/>
      <w:pPr>
        <w:ind w:left="720" w:hanging="436"/>
      </w:pPr>
      <w:rPr>
        <w:rFonts w:ascii="Symbol" w:hAnsi="Symbol" w:hint="default"/>
        <w:b/>
        <w:bCs/>
        <w:i w:val="0"/>
        <w:iCs w:val="0"/>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532FC"/>
    <w:multiLevelType w:val="hybridMultilevel"/>
    <w:tmpl w:val="73EC809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4D2B2E7D"/>
    <w:multiLevelType w:val="hybridMultilevel"/>
    <w:tmpl w:val="379CAE58"/>
    <w:lvl w:ilvl="0" w:tplc="F566F2AC">
      <w:start w:val="1"/>
      <w:numFmt w:val="bullet"/>
      <w:lvlText w:val=""/>
      <w:lvlJc w:val="left"/>
      <w:pPr>
        <w:ind w:left="720" w:hanging="436"/>
      </w:pPr>
      <w:rPr>
        <w:rFonts w:ascii="Symbol" w:hAnsi="Symbol" w:hint="default"/>
        <w:b/>
        <w:bCs/>
        <w:i w:val="0"/>
        <w:iCs w:val="0"/>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57E59"/>
    <w:multiLevelType w:val="hybridMultilevel"/>
    <w:tmpl w:val="01D8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5043C"/>
    <w:multiLevelType w:val="hybridMultilevel"/>
    <w:tmpl w:val="5BF8D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F3BBE"/>
    <w:multiLevelType w:val="hybridMultilevel"/>
    <w:tmpl w:val="38289E1E"/>
    <w:lvl w:ilvl="0" w:tplc="F566F2AC">
      <w:start w:val="1"/>
      <w:numFmt w:val="bullet"/>
      <w:lvlText w:val=""/>
      <w:lvlJc w:val="left"/>
      <w:pPr>
        <w:ind w:left="720" w:hanging="436"/>
      </w:pPr>
      <w:rPr>
        <w:rFonts w:ascii="Symbol" w:hAnsi="Symbol" w:hint="default"/>
        <w:b/>
        <w:bCs/>
        <w:i w:val="0"/>
        <w:iCs w:val="0"/>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27757"/>
    <w:multiLevelType w:val="hybridMultilevel"/>
    <w:tmpl w:val="0B94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73A7B"/>
    <w:multiLevelType w:val="hybridMultilevel"/>
    <w:tmpl w:val="A15A8512"/>
    <w:lvl w:ilvl="0" w:tplc="95E8623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E7458A"/>
    <w:multiLevelType w:val="hybridMultilevel"/>
    <w:tmpl w:val="F658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33207"/>
    <w:multiLevelType w:val="hybridMultilevel"/>
    <w:tmpl w:val="CD629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82193D"/>
    <w:multiLevelType w:val="hybridMultilevel"/>
    <w:tmpl w:val="EDB01BBA"/>
    <w:lvl w:ilvl="0" w:tplc="F566F2AC">
      <w:start w:val="1"/>
      <w:numFmt w:val="bullet"/>
      <w:lvlText w:val=""/>
      <w:lvlJc w:val="left"/>
      <w:pPr>
        <w:ind w:left="720" w:hanging="436"/>
      </w:pPr>
      <w:rPr>
        <w:rFonts w:ascii="Symbol" w:hAnsi="Symbol" w:hint="default"/>
        <w:b/>
        <w:bCs/>
        <w:i w:val="0"/>
        <w:iCs w:val="0"/>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160F"/>
    <w:multiLevelType w:val="hybridMultilevel"/>
    <w:tmpl w:val="97C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0765B"/>
    <w:multiLevelType w:val="hybridMultilevel"/>
    <w:tmpl w:val="B47230A6"/>
    <w:lvl w:ilvl="0" w:tplc="95E862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34175"/>
    <w:multiLevelType w:val="hybridMultilevel"/>
    <w:tmpl w:val="B39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1"/>
  </w:num>
  <w:num w:numId="4">
    <w:abstractNumId w:val="29"/>
  </w:num>
  <w:num w:numId="5">
    <w:abstractNumId w:val="5"/>
  </w:num>
  <w:num w:numId="6">
    <w:abstractNumId w:val="26"/>
  </w:num>
  <w:num w:numId="7">
    <w:abstractNumId w:val="4"/>
  </w:num>
  <w:num w:numId="8">
    <w:abstractNumId w:val="18"/>
  </w:num>
  <w:num w:numId="9">
    <w:abstractNumId w:val="28"/>
  </w:num>
  <w:num w:numId="10">
    <w:abstractNumId w:val="10"/>
  </w:num>
  <w:num w:numId="11">
    <w:abstractNumId w:val="12"/>
  </w:num>
  <w:num w:numId="12">
    <w:abstractNumId w:val="6"/>
  </w:num>
  <w:num w:numId="13">
    <w:abstractNumId w:val="10"/>
  </w:num>
  <w:num w:numId="14">
    <w:abstractNumId w:val="27"/>
  </w:num>
  <w:num w:numId="15">
    <w:abstractNumId w:val="15"/>
  </w:num>
  <w:num w:numId="16">
    <w:abstractNumId w:val="22"/>
  </w:num>
  <w:num w:numId="17">
    <w:abstractNumId w:val="7"/>
  </w:num>
  <w:num w:numId="18">
    <w:abstractNumId w:val="3"/>
  </w:num>
  <w:num w:numId="19">
    <w:abstractNumId w:val="17"/>
  </w:num>
  <w:num w:numId="20">
    <w:abstractNumId w:val="1"/>
  </w:num>
  <w:num w:numId="21">
    <w:abstractNumId w:val="14"/>
  </w:num>
  <w:num w:numId="22">
    <w:abstractNumId w:val="13"/>
  </w:num>
  <w:num w:numId="23">
    <w:abstractNumId w:val="10"/>
  </w:num>
  <w:num w:numId="24">
    <w:abstractNumId w:val="15"/>
    <w:lvlOverride w:ilvl="0">
      <w:lvl w:ilvl="0" w:tplc="F566F2AC">
        <w:start w:val="1"/>
        <w:numFmt w:val="lowerRoman"/>
        <w:lvlText w:val="%1."/>
        <w:lvlJc w:val="right"/>
        <w:pPr>
          <w:ind w:left="1440" w:hanging="360"/>
        </w:pPr>
        <w:rPr>
          <w:rFonts w:hint="default"/>
        </w:rPr>
      </w:lvl>
    </w:lvlOverride>
    <w:lvlOverride w:ilvl="1">
      <w:lvl w:ilvl="1" w:tplc="14AA1A8E">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5">
    <w:abstractNumId w:val="19"/>
  </w:num>
  <w:num w:numId="26">
    <w:abstractNumId w:val="0"/>
  </w:num>
  <w:num w:numId="27">
    <w:abstractNumId w:val="10"/>
  </w:num>
  <w:num w:numId="28">
    <w:abstractNumId w:val="20"/>
  </w:num>
  <w:num w:numId="29">
    <w:abstractNumId w:val="23"/>
  </w:num>
  <w:num w:numId="30">
    <w:abstractNumId w:val="25"/>
  </w:num>
  <w:num w:numId="31">
    <w:abstractNumId w:val="30"/>
  </w:num>
  <w:num w:numId="32">
    <w:abstractNumId w:val="9"/>
  </w:num>
  <w:num w:numId="33">
    <w:abstractNumId w:val="8"/>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AB"/>
    <w:rsid w:val="00001B15"/>
    <w:rsid w:val="00012431"/>
    <w:rsid w:val="00015703"/>
    <w:rsid w:val="00017A52"/>
    <w:rsid w:val="0002135A"/>
    <w:rsid w:val="00023457"/>
    <w:rsid w:val="00026741"/>
    <w:rsid w:val="0002725D"/>
    <w:rsid w:val="000304D1"/>
    <w:rsid w:val="00033FD7"/>
    <w:rsid w:val="00034D87"/>
    <w:rsid w:val="00035B89"/>
    <w:rsid w:val="00036A5A"/>
    <w:rsid w:val="00041804"/>
    <w:rsid w:val="00041BBD"/>
    <w:rsid w:val="00041ED5"/>
    <w:rsid w:val="0004214F"/>
    <w:rsid w:val="00051EAE"/>
    <w:rsid w:val="00055E3F"/>
    <w:rsid w:val="0005795A"/>
    <w:rsid w:val="000613B4"/>
    <w:rsid w:val="00065F70"/>
    <w:rsid w:val="0006680D"/>
    <w:rsid w:val="00067980"/>
    <w:rsid w:val="00070856"/>
    <w:rsid w:val="00077B1A"/>
    <w:rsid w:val="00080505"/>
    <w:rsid w:val="00080AEA"/>
    <w:rsid w:val="00082773"/>
    <w:rsid w:val="00086DDF"/>
    <w:rsid w:val="000918AF"/>
    <w:rsid w:val="000919DD"/>
    <w:rsid w:val="000A236A"/>
    <w:rsid w:val="000A23A4"/>
    <w:rsid w:val="000B3590"/>
    <w:rsid w:val="000B6C92"/>
    <w:rsid w:val="000C1331"/>
    <w:rsid w:val="000C6D25"/>
    <w:rsid w:val="000E0AC5"/>
    <w:rsid w:val="000E1BB6"/>
    <w:rsid w:val="000E3378"/>
    <w:rsid w:val="000E598D"/>
    <w:rsid w:val="000F179B"/>
    <w:rsid w:val="000F2ED6"/>
    <w:rsid w:val="001037C3"/>
    <w:rsid w:val="001047BD"/>
    <w:rsid w:val="00111946"/>
    <w:rsid w:val="001203EC"/>
    <w:rsid w:val="00120CF8"/>
    <w:rsid w:val="00121C75"/>
    <w:rsid w:val="00130356"/>
    <w:rsid w:val="00132FB0"/>
    <w:rsid w:val="00133F7C"/>
    <w:rsid w:val="00134841"/>
    <w:rsid w:val="00142FCF"/>
    <w:rsid w:val="00146511"/>
    <w:rsid w:val="00156B05"/>
    <w:rsid w:val="0016505D"/>
    <w:rsid w:val="001650F5"/>
    <w:rsid w:val="00165B9A"/>
    <w:rsid w:val="00173D58"/>
    <w:rsid w:val="00174589"/>
    <w:rsid w:val="00174FCA"/>
    <w:rsid w:val="00175FBB"/>
    <w:rsid w:val="00182994"/>
    <w:rsid w:val="001830B6"/>
    <w:rsid w:val="001836B4"/>
    <w:rsid w:val="00192852"/>
    <w:rsid w:val="001928CD"/>
    <w:rsid w:val="001A0FA7"/>
    <w:rsid w:val="001A5707"/>
    <w:rsid w:val="001A5C55"/>
    <w:rsid w:val="001D3D73"/>
    <w:rsid w:val="001D40B6"/>
    <w:rsid w:val="001D6B86"/>
    <w:rsid w:val="001D6C52"/>
    <w:rsid w:val="00200F05"/>
    <w:rsid w:val="0022003F"/>
    <w:rsid w:val="00221315"/>
    <w:rsid w:val="0022548C"/>
    <w:rsid w:val="00227144"/>
    <w:rsid w:val="00227EC2"/>
    <w:rsid w:val="00235CB7"/>
    <w:rsid w:val="0023767E"/>
    <w:rsid w:val="00237825"/>
    <w:rsid w:val="0025303F"/>
    <w:rsid w:val="002551F3"/>
    <w:rsid w:val="002578AF"/>
    <w:rsid w:val="0026169A"/>
    <w:rsid w:val="00261EE3"/>
    <w:rsid w:val="002620E2"/>
    <w:rsid w:val="002621AD"/>
    <w:rsid w:val="002629EA"/>
    <w:rsid w:val="002714C4"/>
    <w:rsid w:val="00272B9D"/>
    <w:rsid w:val="00272D6A"/>
    <w:rsid w:val="002803D1"/>
    <w:rsid w:val="002834E2"/>
    <w:rsid w:val="00287F38"/>
    <w:rsid w:val="00291048"/>
    <w:rsid w:val="002A403E"/>
    <w:rsid w:val="002A5B6E"/>
    <w:rsid w:val="002A6C6D"/>
    <w:rsid w:val="002A6C91"/>
    <w:rsid w:val="002A761E"/>
    <w:rsid w:val="002B1231"/>
    <w:rsid w:val="002B6FAF"/>
    <w:rsid w:val="002B79D4"/>
    <w:rsid w:val="002C34C5"/>
    <w:rsid w:val="002C573F"/>
    <w:rsid w:val="002C7CEC"/>
    <w:rsid w:val="002D0CFC"/>
    <w:rsid w:val="002E34DA"/>
    <w:rsid w:val="002F05AE"/>
    <w:rsid w:val="002F785A"/>
    <w:rsid w:val="00303D4A"/>
    <w:rsid w:val="00314FF0"/>
    <w:rsid w:val="00321F84"/>
    <w:rsid w:val="003220D4"/>
    <w:rsid w:val="00333061"/>
    <w:rsid w:val="0033377F"/>
    <w:rsid w:val="003355D2"/>
    <w:rsid w:val="003355FB"/>
    <w:rsid w:val="00344B51"/>
    <w:rsid w:val="003518D6"/>
    <w:rsid w:val="00365FA9"/>
    <w:rsid w:val="003725FC"/>
    <w:rsid w:val="00375800"/>
    <w:rsid w:val="00383048"/>
    <w:rsid w:val="00383471"/>
    <w:rsid w:val="0038609C"/>
    <w:rsid w:val="00390B11"/>
    <w:rsid w:val="00393A19"/>
    <w:rsid w:val="00395E08"/>
    <w:rsid w:val="003965D4"/>
    <w:rsid w:val="003A2EBA"/>
    <w:rsid w:val="003A4587"/>
    <w:rsid w:val="003A53CA"/>
    <w:rsid w:val="003A5990"/>
    <w:rsid w:val="003B1AA7"/>
    <w:rsid w:val="003B57A6"/>
    <w:rsid w:val="003B7548"/>
    <w:rsid w:val="003C2C35"/>
    <w:rsid w:val="003C3AF3"/>
    <w:rsid w:val="003D40CA"/>
    <w:rsid w:val="003D4C42"/>
    <w:rsid w:val="003F19B9"/>
    <w:rsid w:val="003F3B1F"/>
    <w:rsid w:val="003F6F6D"/>
    <w:rsid w:val="003F73AA"/>
    <w:rsid w:val="004007AB"/>
    <w:rsid w:val="00401029"/>
    <w:rsid w:val="004072AC"/>
    <w:rsid w:val="00407C0D"/>
    <w:rsid w:val="00410483"/>
    <w:rsid w:val="00415176"/>
    <w:rsid w:val="0043515D"/>
    <w:rsid w:val="004379FB"/>
    <w:rsid w:val="00445E99"/>
    <w:rsid w:val="00445F5C"/>
    <w:rsid w:val="00446857"/>
    <w:rsid w:val="00452F40"/>
    <w:rsid w:val="00453A5B"/>
    <w:rsid w:val="0045501D"/>
    <w:rsid w:val="00465CCF"/>
    <w:rsid w:val="004704CA"/>
    <w:rsid w:val="00471E1F"/>
    <w:rsid w:val="0047200C"/>
    <w:rsid w:val="00472831"/>
    <w:rsid w:val="00474936"/>
    <w:rsid w:val="004778F5"/>
    <w:rsid w:val="004879E9"/>
    <w:rsid w:val="004A0904"/>
    <w:rsid w:val="004A0EC3"/>
    <w:rsid w:val="004A2EFD"/>
    <w:rsid w:val="004A4565"/>
    <w:rsid w:val="004A53DF"/>
    <w:rsid w:val="004A63DD"/>
    <w:rsid w:val="004B00AA"/>
    <w:rsid w:val="004C5593"/>
    <w:rsid w:val="004D2F85"/>
    <w:rsid w:val="004D35E2"/>
    <w:rsid w:val="004D5D4E"/>
    <w:rsid w:val="004E0C4B"/>
    <w:rsid w:val="004E4034"/>
    <w:rsid w:val="004E5206"/>
    <w:rsid w:val="004E5D1E"/>
    <w:rsid w:val="004F33BA"/>
    <w:rsid w:val="004F3FE4"/>
    <w:rsid w:val="004F5B3B"/>
    <w:rsid w:val="004F5D30"/>
    <w:rsid w:val="004F619E"/>
    <w:rsid w:val="00500275"/>
    <w:rsid w:val="0051308D"/>
    <w:rsid w:val="0051322B"/>
    <w:rsid w:val="0051696E"/>
    <w:rsid w:val="00522F33"/>
    <w:rsid w:val="0052597D"/>
    <w:rsid w:val="0053110A"/>
    <w:rsid w:val="005325CC"/>
    <w:rsid w:val="00532606"/>
    <w:rsid w:val="00537123"/>
    <w:rsid w:val="005478CE"/>
    <w:rsid w:val="005536B0"/>
    <w:rsid w:val="005549F1"/>
    <w:rsid w:val="00556307"/>
    <w:rsid w:val="00556DEC"/>
    <w:rsid w:val="0057008C"/>
    <w:rsid w:val="0057215A"/>
    <w:rsid w:val="005747F7"/>
    <w:rsid w:val="00575D16"/>
    <w:rsid w:val="005808DB"/>
    <w:rsid w:val="005841CD"/>
    <w:rsid w:val="00587C21"/>
    <w:rsid w:val="00590051"/>
    <w:rsid w:val="005A02A6"/>
    <w:rsid w:val="005B099B"/>
    <w:rsid w:val="005B2748"/>
    <w:rsid w:val="005B6E2A"/>
    <w:rsid w:val="005C02C3"/>
    <w:rsid w:val="005C243C"/>
    <w:rsid w:val="005C614E"/>
    <w:rsid w:val="005D0229"/>
    <w:rsid w:val="005D59E0"/>
    <w:rsid w:val="005E44A4"/>
    <w:rsid w:val="005E6159"/>
    <w:rsid w:val="005F39C3"/>
    <w:rsid w:val="005F6836"/>
    <w:rsid w:val="005F77E8"/>
    <w:rsid w:val="00605976"/>
    <w:rsid w:val="006059DD"/>
    <w:rsid w:val="006060C1"/>
    <w:rsid w:val="00612AF0"/>
    <w:rsid w:val="00614697"/>
    <w:rsid w:val="00614C73"/>
    <w:rsid w:val="00615C60"/>
    <w:rsid w:val="00621F49"/>
    <w:rsid w:val="006226FE"/>
    <w:rsid w:val="006231B7"/>
    <w:rsid w:val="00626857"/>
    <w:rsid w:val="006329FA"/>
    <w:rsid w:val="006404EC"/>
    <w:rsid w:val="00640E03"/>
    <w:rsid w:val="00643373"/>
    <w:rsid w:val="006449BF"/>
    <w:rsid w:val="00644A3D"/>
    <w:rsid w:val="00652B26"/>
    <w:rsid w:val="00652F41"/>
    <w:rsid w:val="00653877"/>
    <w:rsid w:val="006551AB"/>
    <w:rsid w:val="00655F85"/>
    <w:rsid w:val="0065729F"/>
    <w:rsid w:val="0066031C"/>
    <w:rsid w:val="00660AC5"/>
    <w:rsid w:val="006619F2"/>
    <w:rsid w:val="0066213C"/>
    <w:rsid w:val="00662C2E"/>
    <w:rsid w:val="00665B44"/>
    <w:rsid w:val="00670312"/>
    <w:rsid w:val="006773A1"/>
    <w:rsid w:val="006805D7"/>
    <w:rsid w:val="00683654"/>
    <w:rsid w:val="00685904"/>
    <w:rsid w:val="006A1664"/>
    <w:rsid w:val="006A1E61"/>
    <w:rsid w:val="006A5A0E"/>
    <w:rsid w:val="006B446B"/>
    <w:rsid w:val="006C3039"/>
    <w:rsid w:val="006C34B1"/>
    <w:rsid w:val="006C3B8B"/>
    <w:rsid w:val="006D0183"/>
    <w:rsid w:val="006D2848"/>
    <w:rsid w:val="006D381E"/>
    <w:rsid w:val="006E0355"/>
    <w:rsid w:val="006F07B1"/>
    <w:rsid w:val="006F77B0"/>
    <w:rsid w:val="0070494D"/>
    <w:rsid w:val="0070695B"/>
    <w:rsid w:val="00725207"/>
    <w:rsid w:val="00725432"/>
    <w:rsid w:val="0073063A"/>
    <w:rsid w:val="00734E94"/>
    <w:rsid w:val="0073572A"/>
    <w:rsid w:val="00737926"/>
    <w:rsid w:val="00743A27"/>
    <w:rsid w:val="00744A91"/>
    <w:rsid w:val="007504F9"/>
    <w:rsid w:val="00754986"/>
    <w:rsid w:val="0075746A"/>
    <w:rsid w:val="00762303"/>
    <w:rsid w:val="00770723"/>
    <w:rsid w:val="0077498B"/>
    <w:rsid w:val="00776F5F"/>
    <w:rsid w:val="007771BB"/>
    <w:rsid w:val="00784987"/>
    <w:rsid w:val="007A0C4C"/>
    <w:rsid w:val="007A4F3D"/>
    <w:rsid w:val="007A6193"/>
    <w:rsid w:val="007B252A"/>
    <w:rsid w:val="007C3C61"/>
    <w:rsid w:val="007C718F"/>
    <w:rsid w:val="007D1B69"/>
    <w:rsid w:val="007D222F"/>
    <w:rsid w:val="007D7F67"/>
    <w:rsid w:val="007E7CA3"/>
    <w:rsid w:val="007F29BE"/>
    <w:rsid w:val="008002BD"/>
    <w:rsid w:val="008011DD"/>
    <w:rsid w:val="00801666"/>
    <w:rsid w:val="00806F5D"/>
    <w:rsid w:val="00811022"/>
    <w:rsid w:val="00811B50"/>
    <w:rsid w:val="0081353A"/>
    <w:rsid w:val="008202D6"/>
    <w:rsid w:val="0082172E"/>
    <w:rsid w:val="00821AE8"/>
    <w:rsid w:val="00834F6D"/>
    <w:rsid w:val="008414E5"/>
    <w:rsid w:val="0084179D"/>
    <w:rsid w:val="008446BD"/>
    <w:rsid w:val="008461E3"/>
    <w:rsid w:val="00850A79"/>
    <w:rsid w:val="00860622"/>
    <w:rsid w:val="00863FB3"/>
    <w:rsid w:val="00867622"/>
    <w:rsid w:val="00873DDC"/>
    <w:rsid w:val="00875634"/>
    <w:rsid w:val="00875841"/>
    <w:rsid w:val="00877363"/>
    <w:rsid w:val="0088021C"/>
    <w:rsid w:val="00885558"/>
    <w:rsid w:val="00886509"/>
    <w:rsid w:val="00894924"/>
    <w:rsid w:val="00894EDA"/>
    <w:rsid w:val="00897754"/>
    <w:rsid w:val="00897DF8"/>
    <w:rsid w:val="008C31C1"/>
    <w:rsid w:val="008C425A"/>
    <w:rsid w:val="008D54BA"/>
    <w:rsid w:val="008E1093"/>
    <w:rsid w:val="008E304E"/>
    <w:rsid w:val="008E71F4"/>
    <w:rsid w:val="008F1D77"/>
    <w:rsid w:val="008F3EFE"/>
    <w:rsid w:val="008F5639"/>
    <w:rsid w:val="009206FC"/>
    <w:rsid w:val="0093012D"/>
    <w:rsid w:val="00934BA7"/>
    <w:rsid w:val="009352C6"/>
    <w:rsid w:val="00947E03"/>
    <w:rsid w:val="00956F4D"/>
    <w:rsid w:val="00965E10"/>
    <w:rsid w:val="009722CD"/>
    <w:rsid w:val="009726F7"/>
    <w:rsid w:val="00972C02"/>
    <w:rsid w:val="00975C57"/>
    <w:rsid w:val="00991EEC"/>
    <w:rsid w:val="009A02CB"/>
    <w:rsid w:val="009A6456"/>
    <w:rsid w:val="009A65A3"/>
    <w:rsid w:val="009A7E9B"/>
    <w:rsid w:val="009B022D"/>
    <w:rsid w:val="009B70C9"/>
    <w:rsid w:val="009C4639"/>
    <w:rsid w:val="009C5FD9"/>
    <w:rsid w:val="009D4BF1"/>
    <w:rsid w:val="009E0424"/>
    <w:rsid w:val="009E3325"/>
    <w:rsid w:val="009E5938"/>
    <w:rsid w:val="009E6220"/>
    <w:rsid w:val="009E7D26"/>
    <w:rsid w:val="009F1C27"/>
    <w:rsid w:val="009F2600"/>
    <w:rsid w:val="009F5E31"/>
    <w:rsid w:val="00A02A1C"/>
    <w:rsid w:val="00A075A1"/>
    <w:rsid w:val="00A132FE"/>
    <w:rsid w:val="00A30DCF"/>
    <w:rsid w:val="00A32DA8"/>
    <w:rsid w:val="00A33CF7"/>
    <w:rsid w:val="00A365EB"/>
    <w:rsid w:val="00A371EF"/>
    <w:rsid w:val="00A42479"/>
    <w:rsid w:val="00A51453"/>
    <w:rsid w:val="00A5297C"/>
    <w:rsid w:val="00A57DB4"/>
    <w:rsid w:val="00A60EFB"/>
    <w:rsid w:val="00A6208E"/>
    <w:rsid w:val="00A66F89"/>
    <w:rsid w:val="00A75630"/>
    <w:rsid w:val="00A762E5"/>
    <w:rsid w:val="00A802CA"/>
    <w:rsid w:val="00A83A3C"/>
    <w:rsid w:val="00A85398"/>
    <w:rsid w:val="00A860AF"/>
    <w:rsid w:val="00A90E88"/>
    <w:rsid w:val="00AA1504"/>
    <w:rsid w:val="00AA1738"/>
    <w:rsid w:val="00AA2A3B"/>
    <w:rsid w:val="00AA3785"/>
    <w:rsid w:val="00AA6C46"/>
    <w:rsid w:val="00AB15A2"/>
    <w:rsid w:val="00AB4A77"/>
    <w:rsid w:val="00AB6123"/>
    <w:rsid w:val="00AB7303"/>
    <w:rsid w:val="00AB7AD2"/>
    <w:rsid w:val="00AC3B2D"/>
    <w:rsid w:val="00AC4DE2"/>
    <w:rsid w:val="00AC55C4"/>
    <w:rsid w:val="00AD1E7F"/>
    <w:rsid w:val="00AD419A"/>
    <w:rsid w:val="00AD4511"/>
    <w:rsid w:val="00AD5A88"/>
    <w:rsid w:val="00AE18AD"/>
    <w:rsid w:val="00AE4BC1"/>
    <w:rsid w:val="00AF04C7"/>
    <w:rsid w:val="00AF6A75"/>
    <w:rsid w:val="00B25721"/>
    <w:rsid w:val="00B3398A"/>
    <w:rsid w:val="00B37542"/>
    <w:rsid w:val="00B4095F"/>
    <w:rsid w:val="00B443FF"/>
    <w:rsid w:val="00B53BCF"/>
    <w:rsid w:val="00B54D26"/>
    <w:rsid w:val="00B575E1"/>
    <w:rsid w:val="00B63743"/>
    <w:rsid w:val="00B64927"/>
    <w:rsid w:val="00B67C0C"/>
    <w:rsid w:val="00B70717"/>
    <w:rsid w:val="00B70CD1"/>
    <w:rsid w:val="00B761DD"/>
    <w:rsid w:val="00B769DA"/>
    <w:rsid w:val="00B772CB"/>
    <w:rsid w:val="00B80C86"/>
    <w:rsid w:val="00B8461C"/>
    <w:rsid w:val="00B973C5"/>
    <w:rsid w:val="00BA3B0A"/>
    <w:rsid w:val="00BA476D"/>
    <w:rsid w:val="00BB095C"/>
    <w:rsid w:val="00BB40D2"/>
    <w:rsid w:val="00BB59A8"/>
    <w:rsid w:val="00BC39D4"/>
    <w:rsid w:val="00BC5E47"/>
    <w:rsid w:val="00BC7C97"/>
    <w:rsid w:val="00BD59BB"/>
    <w:rsid w:val="00BE1E70"/>
    <w:rsid w:val="00BE3AD4"/>
    <w:rsid w:val="00BE4859"/>
    <w:rsid w:val="00BE5E73"/>
    <w:rsid w:val="00BF09AE"/>
    <w:rsid w:val="00BF5446"/>
    <w:rsid w:val="00BF5BCE"/>
    <w:rsid w:val="00BF5C1B"/>
    <w:rsid w:val="00C00146"/>
    <w:rsid w:val="00C004BA"/>
    <w:rsid w:val="00C02B77"/>
    <w:rsid w:val="00C06EDC"/>
    <w:rsid w:val="00C15560"/>
    <w:rsid w:val="00C176B1"/>
    <w:rsid w:val="00C227DA"/>
    <w:rsid w:val="00C3717C"/>
    <w:rsid w:val="00C4074E"/>
    <w:rsid w:val="00C50463"/>
    <w:rsid w:val="00C505CD"/>
    <w:rsid w:val="00C52778"/>
    <w:rsid w:val="00C61E4C"/>
    <w:rsid w:val="00C64189"/>
    <w:rsid w:val="00C669EE"/>
    <w:rsid w:val="00C72C1D"/>
    <w:rsid w:val="00C81AF6"/>
    <w:rsid w:val="00C82593"/>
    <w:rsid w:val="00C840B3"/>
    <w:rsid w:val="00C90ED4"/>
    <w:rsid w:val="00C91097"/>
    <w:rsid w:val="00C93313"/>
    <w:rsid w:val="00C957F2"/>
    <w:rsid w:val="00CB2A64"/>
    <w:rsid w:val="00CC5433"/>
    <w:rsid w:val="00CD4284"/>
    <w:rsid w:val="00CD6CD7"/>
    <w:rsid w:val="00CD75F6"/>
    <w:rsid w:val="00CE58C6"/>
    <w:rsid w:val="00CE7C64"/>
    <w:rsid w:val="00CF1A37"/>
    <w:rsid w:val="00CF48F6"/>
    <w:rsid w:val="00D0102D"/>
    <w:rsid w:val="00D163E1"/>
    <w:rsid w:val="00D271A3"/>
    <w:rsid w:val="00D31F39"/>
    <w:rsid w:val="00D33042"/>
    <w:rsid w:val="00D35008"/>
    <w:rsid w:val="00D37CC1"/>
    <w:rsid w:val="00D4096E"/>
    <w:rsid w:val="00D4284D"/>
    <w:rsid w:val="00D46DFE"/>
    <w:rsid w:val="00D50DCF"/>
    <w:rsid w:val="00D55373"/>
    <w:rsid w:val="00D55997"/>
    <w:rsid w:val="00D57013"/>
    <w:rsid w:val="00D61087"/>
    <w:rsid w:val="00D61585"/>
    <w:rsid w:val="00D7783F"/>
    <w:rsid w:val="00D77FC1"/>
    <w:rsid w:val="00D802A9"/>
    <w:rsid w:val="00D8061C"/>
    <w:rsid w:val="00D80E77"/>
    <w:rsid w:val="00D81ADD"/>
    <w:rsid w:val="00D834A0"/>
    <w:rsid w:val="00D84CEF"/>
    <w:rsid w:val="00D91462"/>
    <w:rsid w:val="00D94491"/>
    <w:rsid w:val="00D96B98"/>
    <w:rsid w:val="00DA0DEC"/>
    <w:rsid w:val="00DB0227"/>
    <w:rsid w:val="00DB20EC"/>
    <w:rsid w:val="00DB477D"/>
    <w:rsid w:val="00DC52FB"/>
    <w:rsid w:val="00DC6224"/>
    <w:rsid w:val="00DC6746"/>
    <w:rsid w:val="00DE2190"/>
    <w:rsid w:val="00DE6BAA"/>
    <w:rsid w:val="00DF14E1"/>
    <w:rsid w:val="00DF3F7D"/>
    <w:rsid w:val="00DF62C4"/>
    <w:rsid w:val="00DF716C"/>
    <w:rsid w:val="00E03096"/>
    <w:rsid w:val="00E07658"/>
    <w:rsid w:val="00E13EFA"/>
    <w:rsid w:val="00E20A01"/>
    <w:rsid w:val="00E20AE8"/>
    <w:rsid w:val="00E24FC8"/>
    <w:rsid w:val="00E315D9"/>
    <w:rsid w:val="00E41A76"/>
    <w:rsid w:val="00E436EC"/>
    <w:rsid w:val="00E44779"/>
    <w:rsid w:val="00E50AC3"/>
    <w:rsid w:val="00E51E26"/>
    <w:rsid w:val="00E52B44"/>
    <w:rsid w:val="00E6062C"/>
    <w:rsid w:val="00E63140"/>
    <w:rsid w:val="00E6328A"/>
    <w:rsid w:val="00E66394"/>
    <w:rsid w:val="00E673EC"/>
    <w:rsid w:val="00E7430E"/>
    <w:rsid w:val="00E75186"/>
    <w:rsid w:val="00E804CC"/>
    <w:rsid w:val="00E820C6"/>
    <w:rsid w:val="00E8221C"/>
    <w:rsid w:val="00E90973"/>
    <w:rsid w:val="00E962DE"/>
    <w:rsid w:val="00E96900"/>
    <w:rsid w:val="00EA40D4"/>
    <w:rsid w:val="00EA536F"/>
    <w:rsid w:val="00EB053B"/>
    <w:rsid w:val="00EB19F4"/>
    <w:rsid w:val="00EC29DA"/>
    <w:rsid w:val="00EC4D09"/>
    <w:rsid w:val="00EC5FAF"/>
    <w:rsid w:val="00ED5364"/>
    <w:rsid w:val="00ED5BAE"/>
    <w:rsid w:val="00ED7B65"/>
    <w:rsid w:val="00EE0A83"/>
    <w:rsid w:val="00EE4B51"/>
    <w:rsid w:val="00EE5FEB"/>
    <w:rsid w:val="00EF08E5"/>
    <w:rsid w:val="00EF16A3"/>
    <w:rsid w:val="00EF226D"/>
    <w:rsid w:val="00F02849"/>
    <w:rsid w:val="00F038EC"/>
    <w:rsid w:val="00F05D0F"/>
    <w:rsid w:val="00F05E30"/>
    <w:rsid w:val="00F07A48"/>
    <w:rsid w:val="00F07BDC"/>
    <w:rsid w:val="00F07F8D"/>
    <w:rsid w:val="00F13571"/>
    <w:rsid w:val="00F13BBC"/>
    <w:rsid w:val="00F16CE5"/>
    <w:rsid w:val="00F172EE"/>
    <w:rsid w:val="00F227BC"/>
    <w:rsid w:val="00F22E27"/>
    <w:rsid w:val="00F251EB"/>
    <w:rsid w:val="00F261F0"/>
    <w:rsid w:val="00F30470"/>
    <w:rsid w:val="00F419A2"/>
    <w:rsid w:val="00F44427"/>
    <w:rsid w:val="00F46657"/>
    <w:rsid w:val="00F539EF"/>
    <w:rsid w:val="00F54A78"/>
    <w:rsid w:val="00F661E0"/>
    <w:rsid w:val="00F66B87"/>
    <w:rsid w:val="00F772A6"/>
    <w:rsid w:val="00F830F1"/>
    <w:rsid w:val="00F879C4"/>
    <w:rsid w:val="00F90586"/>
    <w:rsid w:val="00FA25EE"/>
    <w:rsid w:val="00FA53FB"/>
    <w:rsid w:val="00FB339A"/>
    <w:rsid w:val="00FB542A"/>
    <w:rsid w:val="00FB6AE5"/>
    <w:rsid w:val="00FC12F6"/>
    <w:rsid w:val="00FC26D2"/>
    <w:rsid w:val="00FC5A0C"/>
    <w:rsid w:val="00FC5B94"/>
    <w:rsid w:val="00FD00C4"/>
    <w:rsid w:val="00FD150D"/>
    <w:rsid w:val="00FD4FAE"/>
    <w:rsid w:val="00FD6551"/>
    <w:rsid w:val="00FE0CA0"/>
    <w:rsid w:val="00FE0E4E"/>
    <w:rsid w:val="00FE0FEA"/>
    <w:rsid w:val="00FE32AB"/>
    <w:rsid w:val="00FF3115"/>
    <w:rsid w:val="00FF7F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1672D"/>
  <w15:docId w15:val="{C0C064A5-D4CF-5F4F-9BE9-D0BF6F68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4C5"/>
  </w:style>
  <w:style w:type="paragraph" w:styleId="Heading1">
    <w:name w:val="heading 1"/>
    <w:basedOn w:val="Normal"/>
    <w:next w:val="Normal"/>
    <w:link w:val="Heading1Char"/>
    <w:qFormat/>
    <w:rsid w:val="00770723"/>
    <w:pPr>
      <w:keepNext/>
      <w:keepLines/>
      <w:spacing w:before="480" w:after="0"/>
      <w:outlineLvl w:val="0"/>
    </w:pPr>
    <w:rPr>
      <w:rFonts w:ascii="Arial" w:eastAsiaTheme="majorEastAsia" w:hAnsi="Arial" w:cstheme="majorBidi"/>
      <w:b/>
      <w:bCs/>
      <w:color w:val="1F497D" w:themeColor="text2"/>
      <w:sz w:val="32"/>
      <w:szCs w:val="28"/>
      <w:lang w:val="en-US" w:bidi="en-US"/>
    </w:rPr>
  </w:style>
  <w:style w:type="paragraph" w:styleId="Heading2">
    <w:name w:val="heading 2"/>
    <w:basedOn w:val="Normal"/>
    <w:next w:val="Normal"/>
    <w:link w:val="Heading2Char"/>
    <w:uiPriority w:val="9"/>
    <w:unhideWhenUsed/>
    <w:qFormat/>
    <w:rsid w:val="00A57DB4"/>
    <w:pPr>
      <w:keepNext/>
      <w:keepLines/>
      <w:spacing w:after="360"/>
      <w:outlineLvl w:val="1"/>
    </w:pPr>
    <w:rPr>
      <w:rFonts w:ascii="Arial" w:eastAsia="Georgia"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23"/>
    <w:rPr>
      <w:rFonts w:ascii="Tahoma" w:hAnsi="Tahoma" w:cs="Tahoma"/>
      <w:sz w:val="16"/>
      <w:szCs w:val="16"/>
    </w:rPr>
  </w:style>
  <w:style w:type="paragraph" w:styleId="NormalWeb">
    <w:name w:val="Normal (Web)"/>
    <w:basedOn w:val="Normal"/>
    <w:uiPriority w:val="99"/>
    <w:unhideWhenUsed/>
    <w:rsid w:val="00770723"/>
    <w:pPr>
      <w:spacing w:before="100" w:beforeAutospacing="1" w:after="100" w:afterAutospacing="1"/>
    </w:pPr>
    <w:rPr>
      <w:rFonts w:ascii="Times New Roman" w:eastAsia="Times New Roman" w:hAnsi="Times New Roman" w:cs="Times New Roman"/>
      <w:sz w:val="24"/>
      <w:szCs w:val="24"/>
      <w:lang w:eastAsia="en-GB" w:bidi="en-US"/>
    </w:rPr>
  </w:style>
  <w:style w:type="paragraph" w:styleId="Header">
    <w:name w:val="header"/>
    <w:basedOn w:val="Normal"/>
    <w:link w:val="HeaderChar"/>
    <w:uiPriority w:val="99"/>
    <w:unhideWhenUsed/>
    <w:rsid w:val="00770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723"/>
  </w:style>
  <w:style w:type="paragraph" w:styleId="Footer">
    <w:name w:val="footer"/>
    <w:basedOn w:val="Normal"/>
    <w:link w:val="FooterChar"/>
    <w:uiPriority w:val="99"/>
    <w:unhideWhenUsed/>
    <w:rsid w:val="00EF226D"/>
    <w:pPr>
      <w:tabs>
        <w:tab w:val="center" w:pos="4513"/>
        <w:tab w:val="right" w:pos="9026"/>
      </w:tabs>
      <w:spacing w:after="0" w:line="240" w:lineRule="auto"/>
    </w:pPr>
    <w:rPr>
      <w:rFonts w:ascii="Arial" w:hAnsi="Arial"/>
      <w:sz w:val="16"/>
    </w:rPr>
  </w:style>
  <w:style w:type="character" w:customStyle="1" w:styleId="FooterChar">
    <w:name w:val="Footer Char"/>
    <w:basedOn w:val="DefaultParagraphFont"/>
    <w:link w:val="Footer"/>
    <w:uiPriority w:val="99"/>
    <w:rsid w:val="00EF226D"/>
    <w:rPr>
      <w:rFonts w:ascii="Arial" w:hAnsi="Arial"/>
      <w:sz w:val="16"/>
    </w:rPr>
  </w:style>
  <w:style w:type="character" w:customStyle="1" w:styleId="Heading1Char">
    <w:name w:val="Heading 1 Char"/>
    <w:basedOn w:val="DefaultParagraphFont"/>
    <w:link w:val="Heading1"/>
    <w:rsid w:val="00770723"/>
    <w:rPr>
      <w:rFonts w:ascii="Arial" w:eastAsiaTheme="majorEastAsia" w:hAnsi="Arial" w:cstheme="majorBidi"/>
      <w:b/>
      <w:bCs/>
      <w:color w:val="1F497D" w:themeColor="text2"/>
      <w:sz w:val="32"/>
      <w:szCs w:val="28"/>
      <w:lang w:val="en-US" w:bidi="en-US"/>
    </w:rPr>
  </w:style>
  <w:style w:type="paragraph" w:styleId="ListParagraph">
    <w:name w:val="List Paragraph"/>
    <w:basedOn w:val="Normal"/>
    <w:uiPriority w:val="34"/>
    <w:qFormat/>
    <w:rsid w:val="00770723"/>
    <w:pPr>
      <w:ind w:left="720"/>
      <w:contextualSpacing/>
    </w:pPr>
    <w:rPr>
      <w:rFonts w:ascii="Arial" w:eastAsiaTheme="minorEastAsia" w:hAnsi="Arial"/>
      <w:lang w:val="en-US" w:bidi="en-US"/>
    </w:rPr>
  </w:style>
  <w:style w:type="character" w:styleId="Hyperlink">
    <w:name w:val="Hyperlink"/>
    <w:basedOn w:val="DefaultParagraphFont"/>
    <w:uiPriority w:val="99"/>
    <w:unhideWhenUsed/>
    <w:rsid w:val="00770723"/>
    <w:rPr>
      <w:color w:val="0000FF"/>
      <w:u w:val="single"/>
    </w:rPr>
  </w:style>
  <w:style w:type="character" w:styleId="FollowedHyperlink">
    <w:name w:val="FollowedHyperlink"/>
    <w:basedOn w:val="DefaultParagraphFont"/>
    <w:uiPriority w:val="99"/>
    <w:semiHidden/>
    <w:unhideWhenUsed/>
    <w:rsid w:val="00AE18AD"/>
    <w:rPr>
      <w:color w:val="800080" w:themeColor="followedHyperlink"/>
      <w:u w:val="single"/>
    </w:rPr>
  </w:style>
  <w:style w:type="paragraph" w:styleId="TOCHeading">
    <w:name w:val="TOC Heading"/>
    <w:basedOn w:val="Heading1"/>
    <w:next w:val="Normal"/>
    <w:uiPriority w:val="39"/>
    <w:unhideWhenUsed/>
    <w:qFormat/>
    <w:rsid w:val="000919DD"/>
    <w:pPr>
      <w:outlineLvl w:val="9"/>
    </w:pPr>
    <w:rPr>
      <w:rFonts w:asciiTheme="majorHAnsi" w:hAnsiTheme="majorHAnsi"/>
      <w:color w:val="365F91" w:themeColor="accent1" w:themeShade="BF"/>
      <w:sz w:val="28"/>
      <w:lang w:eastAsia="ja-JP" w:bidi="ar-SA"/>
    </w:rPr>
  </w:style>
  <w:style w:type="character" w:customStyle="1" w:styleId="Heading2Char">
    <w:name w:val="Heading 2 Char"/>
    <w:basedOn w:val="DefaultParagraphFont"/>
    <w:link w:val="Heading2"/>
    <w:uiPriority w:val="9"/>
    <w:rsid w:val="00A57DB4"/>
    <w:rPr>
      <w:rFonts w:ascii="Arial" w:eastAsia="Georgia" w:hAnsi="Arial" w:cs="Arial"/>
      <w:b/>
      <w:bCs/>
      <w:color w:val="000000" w:themeColor="text1"/>
      <w:sz w:val="24"/>
      <w:szCs w:val="24"/>
    </w:rPr>
  </w:style>
  <w:style w:type="paragraph" w:styleId="TOC2">
    <w:name w:val="toc 2"/>
    <w:basedOn w:val="Normal"/>
    <w:next w:val="Normal"/>
    <w:autoRedefine/>
    <w:uiPriority w:val="39"/>
    <w:unhideWhenUsed/>
    <w:rsid w:val="00A57DB4"/>
    <w:pPr>
      <w:spacing w:after="100"/>
      <w:ind w:left="220"/>
    </w:pPr>
    <w:rPr>
      <w:rFonts w:ascii="Arial" w:hAnsi="Arial"/>
    </w:rPr>
  </w:style>
  <w:style w:type="table" w:styleId="TableGrid">
    <w:name w:val="Table Grid"/>
    <w:basedOn w:val="TableNormal"/>
    <w:uiPriority w:val="59"/>
    <w:rsid w:val="00C2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HBigTitle">
    <w:name w:val="TFH Big Title"/>
    <w:basedOn w:val="Normal"/>
    <w:qFormat/>
    <w:rsid w:val="005C614E"/>
    <w:pPr>
      <w:suppressAutoHyphens/>
      <w:spacing w:after="240" w:line="880" w:lineRule="exact"/>
    </w:pPr>
    <w:rPr>
      <w:rFonts w:ascii="Georgia" w:eastAsiaTheme="minorEastAsia" w:hAnsi="Georgia" w:cs="Arial"/>
      <w:color w:val="000000" w:themeColor="text1"/>
      <w:sz w:val="76"/>
      <w:szCs w:val="24"/>
      <w:lang w:val="en-US"/>
    </w:rPr>
  </w:style>
  <w:style w:type="paragraph" w:customStyle="1" w:styleId="THFreporttype">
    <w:name w:val="THF report type"/>
    <w:qFormat/>
    <w:rsid w:val="002629EA"/>
    <w:pPr>
      <w:tabs>
        <w:tab w:val="left" w:pos="0"/>
      </w:tabs>
      <w:spacing w:after="0" w:line="240" w:lineRule="auto"/>
      <w:ind w:left="-1418" w:right="3402"/>
    </w:pPr>
    <w:rPr>
      <w:rFonts w:ascii="Arial" w:eastAsiaTheme="minorEastAsia" w:hAnsi="Arial" w:cs="Arial"/>
      <w:color w:val="000000" w:themeColor="text1"/>
      <w:sz w:val="24"/>
      <w:szCs w:val="64"/>
      <w:lang w:val="en-US"/>
    </w:rPr>
  </w:style>
  <w:style w:type="paragraph" w:customStyle="1" w:styleId="THFprojecttitle">
    <w:name w:val="THF project title"/>
    <w:basedOn w:val="THFreporttype"/>
    <w:qFormat/>
    <w:rsid w:val="00017A52"/>
    <w:pPr>
      <w:suppressAutoHyphens/>
      <w:spacing w:before="1200" w:line="600" w:lineRule="exact"/>
      <w:ind w:left="0" w:right="0"/>
    </w:pPr>
    <w:rPr>
      <w:rFonts w:ascii="Georgia" w:hAnsi="Georgia"/>
      <w:sz w:val="48"/>
    </w:rPr>
  </w:style>
  <w:style w:type="paragraph" w:customStyle="1" w:styleId="THForganisationname">
    <w:name w:val="THF organisation name"/>
    <w:basedOn w:val="THFprojecttitle"/>
    <w:qFormat/>
    <w:rsid w:val="00A57DB4"/>
    <w:pPr>
      <w:spacing w:before="240" w:line="360" w:lineRule="exact"/>
    </w:pPr>
    <w:rPr>
      <w:sz w:val="28"/>
    </w:rPr>
  </w:style>
  <w:style w:type="paragraph" w:customStyle="1" w:styleId="THFdate">
    <w:name w:val="THF date"/>
    <w:basedOn w:val="THFreporttype"/>
    <w:qFormat/>
    <w:rsid w:val="00D35008"/>
    <w:pPr>
      <w:spacing w:before="120"/>
    </w:pPr>
    <w:rPr>
      <w:sz w:val="20"/>
    </w:rPr>
  </w:style>
  <w:style w:type="paragraph" w:customStyle="1" w:styleId="THFBodytext">
    <w:name w:val="THF Body text"/>
    <w:qFormat/>
    <w:rsid w:val="00A57DB4"/>
    <w:pPr>
      <w:tabs>
        <w:tab w:val="left" w:pos="6521"/>
      </w:tabs>
      <w:spacing w:after="240" w:line="264" w:lineRule="auto"/>
    </w:pPr>
    <w:rPr>
      <w:rFonts w:ascii="Arial" w:eastAsiaTheme="minorEastAsia" w:hAnsi="Arial" w:cs="Arial"/>
      <w:color w:val="000000" w:themeColor="text1"/>
      <w:sz w:val="24"/>
      <w:szCs w:val="24"/>
    </w:rPr>
  </w:style>
  <w:style w:type="paragraph" w:customStyle="1" w:styleId="THFHeadinglevel1">
    <w:name w:val="THF Heading level 1"/>
    <w:basedOn w:val="Normal"/>
    <w:next w:val="THFBodytext"/>
    <w:qFormat/>
    <w:rsid w:val="00A57DB4"/>
    <w:pPr>
      <w:tabs>
        <w:tab w:val="left" w:pos="6521"/>
      </w:tabs>
      <w:spacing w:after="360" w:line="264" w:lineRule="auto"/>
    </w:pPr>
    <w:rPr>
      <w:rFonts w:ascii="Arial" w:eastAsiaTheme="minorEastAsia" w:hAnsi="Arial" w:cs="Arial"/>
      <w:b/>
      <w:color w:val="000000" w:themeColor="text1"/>
      <w:sz w:val="24"/>
      <w:szCs w:val="24"/>
    </w:rPr>
  </w:style>
  <w:style w:type="paragraph" w:customStyle="1" w:styleId="THFBullettext">
    <w:name w:val="THF Bullet text"/>
    <w:basedOn w:val="THFBodytext"/>
    <w:qFormat/>
    <w:rsid w:val="00A57DB4"/>
    <w:pPr>
      <w:numPr>
        <w:numId w:val="10"/>
      </w:numPr>
    </w:pPr>
  </w:style>
  <w:style w:type="paragraph" w:customStyle="1" w:styleId="THFHeadinglevel2">
    <w:name w:val="THF Heading level 2"/>
    <w:basedOn w:val="Normal"/>
    <w:next w:val="THFBodytext"/>
    <w:qFormat/>
    <w:rsid w:val="00A57DB4"/>
    <w:pPr>
      <w:tabs>
        <w:tab w:val="left" w:pos="6521"/>
      </w:tabs>
      <w:spacing w:before="240" w:after="120" w:line="264" w:lineRule="auto"/>
    </w:pPr>
    <w:rPr>
      <w:rFonts w:ascii="Arial" w:eastAsiaTheme="minorEastAsia" w:hAnsi="Arial" w:cs="Arial"/>
      <w:b/>
      <w:noProof/>
      <w:color w:val="000000" w:themeColor="text1"/>
      <w:sz w:val="24"/>
      <w:szCs w:val="24"/>
    </w:rPr>
  </w:style>
  <w:style w:type="paragraph" w:customStyle="1" w:styleId="THFHeadinglevel3">
    <w:name w:val="THF Heading level 3"/>
    <w:basedOn w:val="THFHeadinglevel2"/>
    <w:next w:val="THFBodytext"/>
    <w:qFormat/>
    <w:rsid w:val="00D35008"/>
    <w:pPr>
      <w:spacing w:before="0" w:after="240"/>
    </w:pPr>
    <w:rPr>
      <w:color w:val="7F7F7F" w:themeColor="text1" w:themeTint="80"/>
    </w:rPr>
  </w:style>
  <w:style w:type="paragraph" w:customStyle="1" w:styleId="THFHeadinglevel4">
    <w:name w:val="THF Heading level 4"/>
    <w:basedOn w:val="THFHeadinglevel3"/>
    <w:next w:val="THFBodytext"/>
    <w:qFormat/>
    <w:rsid w:val="00A57DB4"/>
    <w:rPr>
      <w:i/>
    </w:rPr>
  </w:style>
  <w:style w:type="character" w:styleId="CommentReference">
    <w:name w:val="annotation reference"/>
    <w:basedOn w:val="DefaultParagraphFont"/>
    <w:uiPriority w:val="99"/>
    <w:semiHidden/>
    <w:unhideWhenUsed/>
    <w:rsid w:val="00E820C6"/>
    <w:rPr>
      <w:sz w:val="16"/>
      <w:szCs w:val="16"/>
    </w:rPr>
  </w:style>
  <w:style w:type="paragraph" w:styleId="CommentText">
    <w:name w:val="annotation text"/>
    <w:basedOn w:val="Normal"/>
    <w:link w:val="CommentTextChar"/>
    <w:uiPriority w:val="99"/>
    <w:semiHidden/>
    <w:unhideWhenUsed/>
    <w:rsid w:val="00E820C6"/>
    <w:pPr>
      <w:spacing w:line="240" w:lineRule="auto"/>
    </w:pPr>
    <w:rPr>
      <w:sz w:val="20"/>
      <w:szCs w:val="20"/>
    </w:rPr>
  </w:style>
  <w:style w:type="character" w:customStyle="1" w:styleId="CommentTextChar">
    <w:name w:val="Comment Text Char"/>
    <w:basedOn w:val="DefaultParagraphFont"/>
    <w:link w:val="CommentText"/>
    <w:uiPriority w:val="99"/>
    <w:semiHidden/>
    <w:rsid w:val="00E820C6"/>
    <w:rPr>
      <w:sz w:val="20"/>
      <w:szCs w:val="20"/>
    </w:rPr>
  </w:style>
  <w:style w:type="paragraph" w:styleId="CommentSubject">
    <w:name w:val="annotation subject"/>
    <w:basedOn w:val="CommentText"/>
    <w:next w:val="CommentText"/>
    <w:link w:val="CommentSubjectChar"/>
    <w:uiPriority w:val="99"/>
    <w:semiHidden/>
    <w:unhideWhenUsed/>
    <w:rsid w:val="00E820C6"/>
    <w:rPr>
      <w:b/>
      <w:bCs/>
    </w:rPr>
  </w:style>
  <w:style w:type="character" w:customStyle="1" w:styleId="CommentSubjectChar">
    <w:name w:val="Comment Subject Char"/>
    <w:basedOn w:val="CommentTextChar"/>
    <w:link w:val="CommentSubject"/>
    <w:uiPriority w:val="99"/>
    <w:semiHidden/>
    <w:rsid w:val="00E820C6"/>
    <w:rPr>
      <w:b/>
      <w:bCs/>
      <w:sz w:val="20"/>
      <w:szCs w:val="20"/>
    </w:rPr>
  </w:style>
  <w:style w:type="paragraph" w:styleId="PlainText">
    <w:name w:val="Plain Text"/>
    <w:basedOn w:val="Normal"/>
    <w:link w:val="PlainTextChar"/>
    <w:uiPriority w:val="99"/>
    <w:unhideWhenUsed/>
    <w:rsid w:val="00FD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D150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02140">
      <w:bodyDiv w:val="1"/>
      <w:marLeft w:val="0"/>
      <w:marRight w:val="0"/>
      <w:marTop w:val="0"/>
      <w:marBottom w:val="0"/>
      <w:divBdr>
        <w:top w:val="none" w:sz="0" w:space="0" w:color="auto"/>
        <w:left w:val="none" w:sz="0" w:space="0" w:color="auto"/>
        <w:bottom w:val="none" w:sz="0" w:space="0" w:color="auto"/>
        <w:right w:val="none" w:sz="0" w:space="0" w:color="auto"/>
      </w:divBdr>
    </w:div>
    <w:div w:id="21052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B9F7-CC75-4980-B3AE-FE52A9D3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The Health Foundation</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Totina</dc:creator>
  <cp:lastModifiedBy>Alanna Rodrigues</cp:lastModifiedBy>
  <cp:revision>2</cp:revision>
  <cp:lastPrinted>2018-10-29T10:41:00Z</cp:lastPrinted>
  <dcterms:created xsi:type="dcterms:W3CDTF">2019-04-02T11:20:00Z</dcterms:created>
  <dcterms:modified xsi:type="dcterms:W3CDTF">2019-04-02T11:20:00Z</dcterms:modified>
</cp:coreProperties>
</file>