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CF4" w:rsidRPr="00CE689A" w:rsidRDefault="00EB0CF4" w:rsidP="00EB0CF4">
      <w:pPr>
        <w:jc w:val="center"/>
        <w:rPr>
          <w:rFonts w:ascii="Arial" w:hAnsi="Arial" w:cs="Arial"/>
          <w:b/>
          <w:sz w:val="20"/>
          <w:szCs w:val="20"/>
        </w:rPr>
      </w:pPr>
      <w:bookmarkStart w:id="0" w:name="_GoBack"/>
      <w:bookmarkEnd w:id="0"/>
      <w:r w:rsidRPr="00CE689A">
        <w:rPr>
          <w:rFonts w:ascii="Arial" w:hAnsi="Arial" w:cs="Arial"/>
          <w:b/>
          <w:sz w:val="20"/>
          <w:szCs w:val="20"/>
        </w:rPr>
        <w:t>Structured Medicines Optimisation Reviews in Care</w:t>
      </w:r>
      <w:r w:rsidR="00671DDE" w:rsidRPr="00CE689A">
        <w:rPr>
          <w:rFonts w:ascii="Arial" w:hAnsi="Arial" w:cs="Arial"/>
          <w:b/>
          <w:sz w:val="20"/>
          <w:szCs w:val="20"/>
        </w:rPr>
        <w:t xml:space="preserve"> H</w:t>
      </w:r>
      <w:r w:rsidRPr="00CE689A">
        <w:rPr>
          <w:rFonts w:ascii="Arial" w:hAnsi="Arial" w:cs="Arial"/>
          <w:b/>
          <w:sz w:val="20"/>
          <w:szCs w:val="20"/>
        </w:rPr>
        <w:t>omes</w:t>
      </w:r>
    </w:p>
    <w:p w:rsidR="00EB0CF4" w:rsidRPr="00CE689A" w:rsidRDefault="00EB0CF4" w:rsidP="00EB0CF4">
      <w:pPr>
        <w:spacing w:after="0"/>
        <w:jc w:val="both"/>
        <w:rPr>
          <w:rFonts w:ascii="Arial" w:hAnsi="Arial" w:cs="Arial"/>
          <w:noProof/>
          <w:sz w:val="20"/>
          <w:szCs w:val="20"/>
          <w:lang w:eastAsia="en-GB"/>
        </w:rPr>
      </w:pPr>
      <w:r w:rsidRPr="00CE689A">
        <w:rPr>
          <w:rFonts w:ascii="Arial" w:hAnsi="Arial" w:cs="Arial"/>
          <w:sz w:val="20"/>
          <w:szCs w:val="20"/>
        </w:rPr>
        <w:t xml:space="preserve">The medication review process should be agreed and key professionals identified (general practitioner, clinical pharmacist, care home nurse and other relevant professionals).  </w:t>
      </w:r>
      <w:r w:rsidR="00927218" w:rsidRPr="00CE689A">
        <w:rPr>
          <w:rFonts w:ascii="Arial" w:hAnsi="Arial" w:cs="Arial"/>
          <w:sz w:val="20"/>
          <w:szCs w:val="20"/>
        </w:rPr>
        <w:t xml:space="preserve">The review process </w:t>
      </w:r>
      <w:r w:rsidR="00E43E09" w:rsidRPr="00CE689A">
        <w:rPr>
          <w:rFonts w:ascii="Arial" w:hAnsi="Arial" w:cs="Arial"/>
          <w:sz w:val="20"/>
          <w:szCs w:val="20"/>
        </w:rPr>
        <w:t>developed in Shine</w:t>
      </w:r>
      <w:r w:rsidR="00E43E09" w:rsidRPr="00CE689A">
        <w:rPr>
          <w:rFonts w:ascii="Arial" w:hAnsi="Arial" w:cs="Arial"/>
          <w:sz w:val="20"/>
          <w:szCs w:val="20"/>
          <w:vertAlign w:val="superscript"/>
        </w:rPr>
        <w:t>1</w:t>
      </w:r>
      <w:r w:rsidR="00E43E09" w:rsidRPr="00CE689A">
        <w:rPr>
          <w:rFonts w:ascii="Arial" w:hAnsi="Arial" w:cs="Arial"/>
          <w:sz w:val="20"/>
          <w:szCs w:val="20"/>
        </w:rPr>
        <w:t xml:space="preserve"> had three main components</w:t>
      </w:r>
      <w:r w:rsidRPr="00CE689A">
        <w:rPr>
          <w:rFonts w:ascii="Arial" w:hAnsi="Arial" w:cs="Arial"/>
          <w:sz w:val="20"/>
          <w:szCs w:val="20"/>
        </w:rPr>
        <w:t>:</w:t>
      </w:r>
    </w:p>
    <w:tbl>
      <w:tblPr>
        <w:tblStyle w:val="LightGrid-Accent2"/>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ED174F"/>
        <w:tblLook w:val="04A0" w:firstRow="1" w:lastRow="0" w:firstColumn="1" w:lastColumn="0" w:noHBand="0" w:noVBand="1"/>
      </w:tblPr>
      <w:tblGrid>
        <w:gridCol w:w="4786"/>
        <w:gridCol w:w="5812"/>
      </w:tblGrid>
      <w:tr w:rsidR="00CE689A" w:rsidRPr="00CE689A" w:rsidTr="00CE689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Borders>
              <w:top w:val="none" w:sz="0" w:space="0" w:color="auto"/>
              <w:left w:val="none" w:sz="0" w:space="0" w:color="auto"/>
              <w:bottom w:val="none" w:sz="0" w:space="0" w:color="auto"/>
              <w:right w:val="none" w:sz="0" w:space="0" w:color="auto"/>
            </w:tcBorders>
            <w:shd w:val="clear" w:color="auto" w:fill="ED174F"/>
          </w:tcPr>
          <w:p w:rsidR="00BD0097" w:rsidRPr="00CE689A" w:rsidRDefault="0087078F" w:rsidP="00E5736C">
            <w:pPr>
              <w:rPr>
                <w:rFonts w:ascii="Arial" w:hAnsi="Arial" w:cs="Arial"/>
                <w:noProof/>
                <w:color w:val="FFFFFF" w:themeColor="background1"/>
                <w:sz w:val="20"/>
                <w:szCs w:val="20"/>
                <w:lang w:eastAsia="en-GB"/>
              </w:rPr>
            </w:pPr>
            <w:r w:rsidRPr="00CE689A">
              <w:rPr>
                <w:rFonts w:ascii="Arial" w:hAnsi="Arial" w:cs="Arial"/>
                <w:noProof/>
                <w:color w:val="FFFFFF" w:themeColor="background1"/>
                <w:sz w:val="20"/>
                <w:szCs w:val="20"/>
                <w:lang w:eastAsia="en-GB"/>
              </w:rPr>
              <w:t>MEDICATION REVIEW</w:t>
            </w:r>
          </w:p>
          <w:p w:rsidR="0087078F" w:rsidRPr="00CE689A" w:rsidRDefault="00091DD2" w:rsidP="00CE689A">
            <w:pPr>
              <w:rPr>
                <w:rFonts w:ascii="Arial" w:hAnsi="Arial" w:cs="Arial"/>
                <w:b w:val="0"/>
                <w:noProof/>
                <w:color w:val="FFFFFF" w:themeColor="background1"/>
                <w:sz w:val="20"/>
                <w:szCs w:val="20"/>
                <w:lang w:eastAsia="en-GB"/>
              </w:rPr>
            </w:pPr>
            <w:r w:rsidRPr="00CE689A">
              <w:rPr>
                <w:rFonts w:ascii="Arial" w:hAnsi="Arial" w:cs="Arial"/>
                <w:b w:val="0"/>
                <w:noProof/>
                <w:color w:val="FFFFFF" w:themeColor="background1"/>
                <w:sz w:val="20"/>
                <w:szCs w:val="20"/>
                <w:lang w:eastAsia="en-GB"/>
              </w:rPr>
              <w:t>In the Shine project this was undertake</w:t>
            </w:r>
            <w:r w:rsidR="006C0953">
              <w:rPr>
                <w:rFonts w:ascii="Arial" w:hAnsi="Arial" w:cs="Arial"/>
                <w:b w:val="0"/>
                <w:noProof/>
                <w:color w:val="FFFFFF" w:themeColor="background1"/>
                <w:sz w:val="20"/>
                <w:szCs w:val="20"/>
                <w:lang w:eastAsia="en-GB"/>
              </w:rPr>
              <w:t>n</w:t>
            </w:r>
            <w:r w:rsidRPr="00CE689A">
              <w:rPr>
                <w:rFonts w:ascii="Arial" w:hAnsi="Arial" w:cs="Arial"/>
                <w:b w:val="0"/>
                <w:noProof/>
                <w:color w:val="FFFFFF" w:themeColor="background1"/>
                <w:sz w:val="20"/>
                <w:szCs w:val="20"/>
                <w:lang w:eastAsia="en-GB"/>
              </w:rPr>
              <w:t xml:space="preserve"> by a clinical pharmacist</w:t>
            </w:r>
          </w:p>
          <w:p w:rsidR="0087078F" w:rsidRPr="00CE689A" w:rsidRDefault="0087078F" w:rsidP="00E5736C">
            <w:pPr>
              <w:rPr>
                <w:rFonts w:ascii="Arial" w:hAnsi="Arial" w:cs="Arial"/>
                <w:b w:val="0"/>
                <w:noProof/>
                <w:color w:val="FFFFFF" w:themeColor="background1"/>
                <w:sz w:val="20"/>
                <w:szCs w:val="20"/>
                <w:lang w:eastAsia="en-GB"/>
              </w:rPr>
            </w:pPr>
          </w:p>
          <w:p w:rsidR="0087078F" w:rsidRPr="00CE689A" w:rsidRDefault="0087078F" w:rsidP="00E5736C">
            <w:pPr>
              <w:rPr>
                <w:rFonts w:ascii="Arial" w:hAnsi="Arial" w:cs="Arial"/>
                <w:b w:val="0"/>
                <w:noProof/>
                <w:color w:val="FFFFFF" w:themeColor="background1"/>
                <w:sz w:val="20"/>
                <w:szCs w:val="20"/>
                <w:lang w:eastAsia="en-GB"/>
              </w:rPr>
            </w:pPr>
          </w:p>
        </w:tc>
        <w:tc>
          <w:tcPr>
            <w:tcW w:w="5812" w:type="dxa"/>
            <w:tcBorders>
              <w:top w:val="none" w:sz="0" w:space="0" w:color="auto"/>
              <w:left w:val="none" w:sz="0" w:space="0" w:color="auto"/>
              <w:bottom w:val="none" w:sz="0" w:space="0" w:color="auto"/>
              <w:right w:val="none" w:sz="0" w:space="0" w:color="auto"/>
            </w:tcBorders>
            <w:shd w:val="clear" w:color="auto" w:fill="ED174F"/>
          </w:tcPr>
          <w:p w:rsidR="0087078F" w:rsidRPr="0071320F" w:rsidRDefault="00E5736C" w:rsidP="00CE689A">
            <w:pPr>
              <w:spacing w:after="200" w:line="276" w:lineRule="auto"/>
              <w:cnfStyle w:val="100000000000" w:firstRow="1" w:lastRow="0" w:firstColumn="0" w:lastColumn="0" w:oddVBand="0" w:evenVBand="0" w:oddHBand="0" w:evenHBand="0" w:firstRowFirstColumn="0" w:firstRowLastColumn="0" w:lastRowFirstColumn="0" w:lastRowLastColumn="0"/>
              <w:rPr>
                <w:rFonts w:ascii="Arial" w:hAnsi="Arial" w:cs="Arial"/>
                <w:b w:val="0"/>
                <w:noProof/>
                <w:color w:val="FFFFFF" w:themeColor="background1"/>
                <w:sz w:val="20"/>
                <w:szCs w:val="20"/>
                <w:lang w:eastAsia="en-GB"/>
              </w:rPr>
            </w:pPr>
            <w:r w:rsidRPr="0071320F">
              <w:rPr>
                <w:rFonts w:ascii="Arial" w:hAnsi="Arial" w:cs="Arial"/>
                <w:noProof/>
                <w:color w:val="FFFFFF" w:themeColor="background1"/>
                <w:sz w:val="20"/>
                <w:szCs w:val="20"/>
                <w:lang w:eastAsia="en-GB"/>
              </w:rPr>
              <mc:AlternateContent>
                <mc:Choice Requires="wps">
                  <w:drawing>
                    <wp:anchor distT="0" distB="0" distL="114300" distR="114300" simplePos="0" relativeHeight="251659264" behindDoc="0" locked="0" layoutInCell="1" allowOverlap="1" wp14:anchorId="26E7EEC3" wp14:editId="2ABF6DDB">
                      <wp:simplePos x="0" y="0"/>
                      <wp:positionH relativeFrom="column">
                        <wp:posOffset>4246880</wp:posOffset>
                      </wp:positionH>
                      <wp:positionV relativeFrom="paragraph">
                        <wp:posOffset>33020</wp:posOffset>
                      </wp:positionV>
                      <wp:extent cx="419100" cy="2524125"/>
                      <wp:effectExtent l="0" t="0" r="0" b="9525"/>
                      <wp:wrapNone/>
                      <wp:docPr id="4" name="Down Arrow 4"/>
                      <wp:cNvGraphicFramePr/>
                      <a:graphic xmlns:a="http://schemas.openxmlformats.org/drawingml/2006/main">
                        <a:graphicData uri="http://schemas.microsoft.com/office/word/2010/wordprocessingShape">
                          <wps:wsp>
                            <wps:cNvSpPr/>
                            <wps:spPr>
                              <a:xfrm>
                                <a:off x="0" y="0"/>
                                <a:ext cx="419100" cy="2524125"/>
                              </a:xfrm>
                              <a:prstGeom prst="downArrow">
                                <a:avLst/>
                              </a:prstGeom>
                              <a:solidFill>
                                <a:srgbClr val="ED174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4" o:spid="_x0000_s1026" type="#_x0000_t67" style="position:absolute;margin-left:334.4pt;margin-top:2.6pt;width:33pt;height:198.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" adj="19807" fillcolor="#ed174f" stroked="f" strokeweight="2pt"/>
                  </w:pict>
                </mc:Fallback>
              </mc:AlternateContent>
            </w:r>
            <w:r w:rsidR="0087078F" w:rsidRPr="0071320F">
              <w:rPr>
                <w:rFonts w:ascii="Arial" w:hAnsi="Arial" w:cs="Arial"/>
                <w:b w:val="0"/>
                <w:noProof/>
                <w:color w:val="FFFFFF" w:themeColor="background1"/>
                <w:sz w:val="20"/>
                <w:szCs w:val="20"/>
                <w:lang w:eastAsia="en-GB"/>
              </w:rPr>
              <w:t>Detailed review of medicines using all appropriate data sources (e.g. GP records, hospital notes, care home records)</w:t>
            </w:r>
          </w:p>
          <w:p w:rsidR="0087078F" w:rsidRPr="0071320F" w:rsidRDefault="0087078F" w:rsidP="00CE689A">
            <w:pPr>
              <w:spacing w:after="200" w:line="276" w:lineRule="auto"/>
              <w:cnfStyle w:val="100000000000" w:firstRow="1" w:lastRow="0" w:firstColumn="0" w:lastColumn="0" w:oddVBand="0" w:evenVBand="0" w:oddHBand="0" w:evenHBand="0" w:firstRowFirstColumn="0" w:firstRowLastColumn="0" w:lastRowFirstColumn="0" w:lastRowLastColumn="0"/>
              <w:rPr>
                <w:rFonts w:ascii="Arial" w:hAnsi="Arial" w:cs="Arial"/>
                <w:b w:val="0"/>
                <w:noProof/>
                <w:color w:val="FFFFFF" w:themeColor="background1"/>
                <w:sz w:val="20"/>
                <w:szCs w:val="20"/>
                <w:lang w:eastAsia="en-GB"/>
              </w:rPr>
            </w:pPr>
            <w:r w:rsidRPr="0071320F">
              <w:rPr>
                <w:rFonts w:ascii="Arial" w:hAnsi="Arial" w:cs="Arial"/>
                <w:b w:val="0"/>
                <w:noProof/>
                <w:color w:val="FFFFFF" w:themeColor="background1"/>
                <w:sz w:val="20"/>
                <w:szCs w:val="20"/>
                <w:lang w:eastAsia="en-GB"/>
              </w:rPr>
              <w:t xml:space="preserve">Consider original indication, previous reviews and </w:t>
            </w:r>
            <w:r w:rsidR="00671DDE" w:rsidRPr="0071320F">
              <w:rPr>
                <w:rFonts w:ascii="Arial" w:hAnsi="Arial" w:cs="Arial"/>
                <w:b w:val="0"/>
                <w:noProof/>
                <w:color w:val="FFFFFF" w:themeColor="background1"/>
                <w:sz w:val="20"/>
                <w:szCs w:val="20"/>
                <w:lang w:eastAsia="en-GB"/>
              </w:rPr>
              <w:t>whether</w:t>
            </w:r>
            <w:r w:rsidRPr="0071320F">
              <w:rPr>
                <w:rFonts w:ascii="Arial" w:hAnsi="Arial" w:cs="Arial"/>
                <w:b w:val="0"/>
                <w:noProof/>
                <w:color w:val="FFFFFF" w:themeColor="background1"/>
                <w:sz w:val="20"/>
                <w:szCs w:val="20"/>
                <w:lang w:eastAsia="en-GB"/>
              </w:rPr>
              <w:t xml:space="preserve"> </w:t>
            </w:r>
            <w:r w:rsidR="00671DDE" w:rsidRPr="0071320F">
              <w:rPr>
                <w:rFonts w:ascii="Arial" w:hAnsi="Arial" w:cs="Arial"/>
                <w:b w:val="0"/>
                <w:noProof/>
                <w:color w:val="FFFFFF" w:themeColor="background1"/>
                <w:sz w:val="20"/>
                <w:szCs w:val="20"/>
                <w:lang w:eastAsia="en-GB"/>
              </w:rPr>
              <w:t>medicine</w:t>
            </w:r>
            <w:r w:rsidRPr="0071320F">
              <w:rPr>
                <w:rFonts w:ascii="Arial" w:hAnsi="Arial" w:cs="Arial"/>
                <w:b w:val="0"/>
                <w:noProof/>
                <w:color w:val="FFFFFF" w:themeColor="background1"/>
                <w:sz w:val="20"/>
                <w:szCs w:val="20"/>
                <w:lang w:eastAsia="en-GB"/>
              </w:rPr>
              <w:t xml:space="preserve"> still relevant</w:t>
            </w:r>
            <w:r w:rsidR="00521A2D" w:rsidRPr="0071320F">
              <w:rPr>
                <w:rFonts w:ascii="Arial" w:hAnsi="Arial" w:cs="Arial"/>
                <w:b w:val="0"/>
                <w:noProof/>
                <w:color w:val="FFFFFF" w:themeColor="background1"/>
                <w:sz w:val="20"/>
                <w:szCs w:val="20"/>
                <w:lang w:eastAsia="en-GB"/>
              </w:rPr>
              <w:t xml:space="preserve"> (see below)</w:t>
            </w:r>
          </w:p>
          <w:p w:rsidR="0087078F" w:rsidRPr="0071320F" w:rsidRDefault="0087078F" w:rsidP="00CE689A">
            <w:pPr>
              <w:cnfStyle w:val="100000000000" w:firstRow="1" w:lastRow="0" w:firstColumn="0" w:lastColumn="0" w:oddVBand="0" w:evenVBand="0" w:oddHBand="0" w:evenHBand="0" w:firstRowFirstColumn="0" w:firstRowLastColumn="0" w:lastRowFirstColumn="0" w:lastRowLastColumn="0"/>
              <w:rPr>
                <w:rFonts w:ascii="Arial" w:hAnsi="Arial" w:cs="Arial"/>
                <w:b w:val="0"/>
                <w:noProof/>
                <w:color w:val="FFFFFF" w:themeColor="background1"/>
                <w:sz w:val="20"/>
                <w:szCs w:val="20"/>
                <w:lang w:eastAsia="en-GB"/>
              </w:rPr>
            </w:pPr>
            <w:r w:rsidRPr="0071320F">
              <w:rPr>
                <w:rFonts w:ascii="Arial" w:hAnsi="Arial" w:cs="Arial"/>
                <w:b w:val="0"/>
                <w:noProof/>
                <w:color w:val="FFFFFF" w:themeColor="background1"/>
                <w:sz w:val="20"/>
                <w:szCs w:val="20"/>
                <w:lang w:eastAsia="en-GB"/>
              </w:rPr>
              <w:t>Action plan to be taken to MDT</w:t>
            </w:r>
          </w:p>
        </w:tc>
      </w:tr>
      <w:tr w:rsidR="00CE689A" w:rsidRPr="00CE689A" w:rsidTr="00CE68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Borders>
              <w:top w:val="none" w:sz="0" w:space="0" w:color="auto"/>
              <w:left w:val="none" w:sz="0" w:space="0" w:color="auto"/>
              <w:bottom w:val="none" w:sz="0" w:space="0" w:color="auto"/>
              <w:right w:val="none" w:sz="0" w:space="0" w:color="auto"/>
            </w:tcBorders>
            <w:shd w:val="clear" w:color="auto" w:fill="ED174F"/>
          </w:tcPr>
          <w:p w:rsidR="00BD0097" w:rsidRPr="00CE689A" w:rsidRDefault="0087078F" w:rsidP="00E5736C">
            <w:pPr>
              <w:rPr>
                <w:rFonts w:ascii="Arial" w:hAnsi="Arial" w:cs="Arial"/>
                <w:noProof/>
                <w:color w:val="FFFFFF" w:themeColor="background1"/>
                <w:sz w:val="20"/>
                <w:szCs w:val="20"/>
                <w:lang w:eastAsia="en-GB"/>
              </w:rPr>
            </w:pPr>
            <w:r w:rsidRPr="00CE689A">
              <w:rPr>
                <w:rFonts w:ascii="Arial" w:hAnsi="Arial" w:cs="Arial"/>
                <w:noProof/>
                <w:color w:val="FFFFFF" w:themeColor="background1"/>
                <w:sz w:val="20"/>
                <w:szCs w:val="20"/>
                <w:lang w:eastAsia="en-GB"/>
              </w:rPr>
              <w:t>MULTIDISCIPLINARY TEAM DECISIONS</w:t>
            </w:r>
          </w:p>
          <w:p w:rsidR="00091DD2" w:rsidRPr="00CE689A" w:rsidRDefault="00091DD2" w:rsidP="00CE689A">
            <w:pPr>
              <w:rPr>
                <w:rFonts w:ascii="Arial" w:hAnsi="Arial" w:cs="Arial"/>
                <w:b w:val="0"/>
                <w:noProof/>
                <w:color w:val="FFFFFF" w:themeColor="background1"/>
                <w:sz w:val="20"/>
                <w:szCs w:val="20"/>
                <w:lang w:eastAsia="en-GB"/>
              </w:rPr>
            </w:pPr>
            <w:r w:rsidRPr="00CE689A">
              <w:rPr>
                <w:rFonts w:ascii="Arial" w:hAnsi="Arial" w:cs="Arial"/>
                <w:b w:val="0"/>
                <w:noProof/>
                <w:color w:val="FFFFFF" w:themeColor="background1"/>
                <w:sz w:val="20"/>
                <w:szCs w:val="20"/>
                <w:lang w:eastAsia="en-GB"/>
              </w:rPr>
              <w:t xml:space="preserve">The MDT should ideally include the pharmacist or other HCP who undertook the review, the care home nurse and the GP (if possible).  It </w:t>
            </w:r>
            <w:r w:rsidR="006C0953">
              <w:rPr>
                <w:rFonts w:ascii="Arial" w:hAnsi="Arial" w:cs="Arial"/>
                <w:b w:val="0"/>
                <w:noProof/>
                <w:color w:val="FFFFFF" w:themeColor="background1"/>
                <w:sz w:val="20"/>
                <w:szCs w:val="20"/>
                <w:lang w:eastAsia="en-GB"/>
              </w:rPr>
              <w:t xml:space="preserve">should </w:t>
            </w:r>
            <w:r w:rsidRPr="00CE689A">
              <w:rPr>
                <w:rFonts w:ascii="Arial" w:hAnsi="Arial" w:cs="Arial"/>
                <w:b w:val="0"/>
                <w:noProof/>
                <w:color w:val="FFFFFF" w:themeColor="background1"/>
                <w:sz w:val="20"/>
                <w:szCs w:val="20"/>
                <w:lang w:eastAsia="en-GB"/>
              </w:rPr>
              <w:t xml:space="preserve">be structured to reflect the findings of the review and may also include psychiatry of old age consultants and nurses, palliative care team, etc. </w:t>
            </w:r>
          </w:p>
        </w:tc>
        <w:tc>
          <w:tcPr>
            <w:tcW w:w="5812" w:type="dxa"/>
            <w:tcBorders>
              <w:top w:val="none" w:sz="0" w:space="0" w:color="auto"/>
              <w:left w:val="none" w:sz="0" w:space="0" w:color="auto"/>
              <w:bottom w:val="none" w:sz="0" w:space="0" w:color="auto"/>
              <w:right w:val="none" w:sz="0" w:space="0" w:color="auto"/>
            </w:tcBorders>
            <w:shd w:val="clear" w:color="auto" w:fill="ED174F"/>
          </w:tcPr>
          <w:p w:rsidR="00BD0097" w:rsidRPr="0071320F" w:rsidRDefault="0087078F" w:rsidP="00CE689A">
            <w:pPr>
              <w:cnfStyle w:val="000000100000" w:firstRow="0" w:lastRow="0" w:firstColumn="0" w:lastColumn="0" w:oddVBand="0" w:evenVBand="0" w:oddHBand="1" w:evenHBand="0" w:firstRowFirstColumn="0" w:firstRowLastColumn="0" w:lastRowFirstColumn="0" w:lastRowLastColumn="0"/>
              <w:rPr>
                <w:rFonts w:ascii="Arial" w:hAnsi="Arial" w:cs="Arial"/>
                <w:noProof/>
                <w:color w:val="FFFFFF" w:themeColor="background1"/>
                <w:sz w:val="20"/>
                <w:szCs w:val="20"/>
                <w:lang w:eastAsia="en-GB"/>
              </w:rPr>
            </w:pPr>
            <w:r w:rsidRPr="0071320F">
              <w:rPr>
                <w:rFonts w:ascii="Arial" w:hAnsi="Arial" w:cs="Arial"/>
                <w:noProof/>
                <w:color w:val="FFFFFF" w:themeColor="background1"/>
                <w:sz w:val="20"/>
                <w:szCs w:val="20"/>
                <w:lang w:eastAsia="en-GB"/>
              </w:rPr>
              <w:t xml:space="preserve">Discuss all medicines </w:t>
            </w:r>
            <w:r w:rsidR="00521A2D" w:rsidRPr="0071320F">
              <w:rPr>
                <w:rFonts w:ascii="Arial" w:hAnsi="Arial" w:cs="Arial"/>
                <w:noProof/>
                <w:color w:val="FFFFFF" w:themeColor="background1"/>
                <w:sz w:val="20"/>
                <w:szCs w:val="20"/>
                <w:lang w:eastAsia="en-GB"/>
              </w:rPr>
              <w:t>prescribed</w:t>
            </w:r>
          </w:p>
          <w:p w:rsidR="00E43E09" w:rsidRPr="0071320F" w:rsidRDefault="00521A2D" w:rsidP="00CE689A">
            <w:pPr>
              <w:cnfStyle w:val="000000100000" w:firstRow="0" w:lastRow="0" w:firstColumn="0" w:lastColumn="0" w:oddVBand="0" w:evenVBand="0" w:oddHBand="1" w:evenHBand="0" w:firstRowFirstColumn="0" w:firstRowLastColumn="0" w:lastRowFirstColumn="0" w:lastRowLastColumn="0"/>
              <w:rPr>
                <w:rFonts w:ascii="Arial" w:hAnsi="Arial" w:cs="Arial"/>
                <w:noProof/>
                <w:color w:val="FFFFFF" w:themeColor="background1"/>
                <w:sz w:val="20"/>
                <w:szCs w:val="20"/>
                <w:lang w:eastAsia="en-GB"/>
              </w:rPr>
            </w:pPr>
            <w:r w:rsidRPr="0071320F">
              <w:rPr>
                <w:rFonts w:ascii="Arial" w:hAnsi="Arial" w:cs="Arial"/>
                <w:noProof/>
                <w:color w:val="FFFFFF" w:themeColor="background1"/>
                <w:sz w:val="20"/>
                <w:szCs w:val="20"/>
                <w:lang w:eastAsia="en-GB"/>
              </w:rPr>
              <w:t>Consider the resident’s</w:t>
            </w:r>
            <w:r w:rsidR="00E43E09" w:rsidRPr="0071320F">
              <w:rPr>
                <w:rFonts w:ascii="Arial" w:hAnsi="Arial" w:cs="Arial"/>
                <w:noProof/>
                <w:color w:val="FFFFFF" w:themeColor="background1"/>
                <w:sz w:val="20"/>
                <w:szCs w:val="20"/>
                <w:lang w:eastAsia="en-GB"/>
              </w:rPr>
              <w:t xml:space="preserve"> capacity to make complex decisions </w:t>
            </w:r>
          </w:p>
          <w:p w:rsidR="00521A2D" w:rsidRPr="0071320F" w:rsidRDefault="00E43E09" w:rsidP="00CE689A">
            <w:pPr>
              <w:cnfStyle w:val="000000100000" w:firstRow="0" w:lastRow="0" w:firstColumn="0" w:lastColumn="0" w:oddVBand="0" w:evenVBand="0" w:oddHBand="1" w:evenHBand="0" w:firstRowFirstColumn="0" w:firstRowLastColumn="0" w:lastRowFirstColumn="0" w:lastRowLastColumn="0"/>
              <w:rPr>
                <w:rFonts w:ascii="Arial" w:hAnsi="Arial" w:cs="Arial"/>
                <w:noProof/>
                <w:color w:val="FFFFFF" w:themeColor="background1"/>
                <w:sz w:val="20"/>
                <w:szCs w:val="20"/>
                <w:lang w:eastAsia="en-GB"/>
              </w:rPr>
            </w:pPr>
            <w:r w:rsidRPr="0071320F">
              <w:rPr>
                <w:rFonts w:ascii="Arial" w:hAnsi="Arial" w:cs="Arial"/>
                <w:noProof/>
                <w:color w:val="FFFFFF" w:themeColor="background1"/>
                <w:sz w:val="20"/>
                <w:szCs w:val="20"/>
                <w:lang w:eastAsia="en-GB"/>
              </w:rPr>
              <w:t xml:space="preserve">Invite the resident and/or </w:t>
            </w:r>
            <w:r w:rsidR="00521A2D" w:rsidRPr="0071320F">
              <w:rPr>
                <w:rFonts w:ascii="Arial" w:hAnsi="Arial" w:cs="Arial"/>
                <w:noProof/>
                <w:color w:val="FFFFFF" w:themeColor="background1"/>
                <w:sz w:val="20"/>
                <w:szCs w:val="20"/>
                <w:lang w:eastAsia="en-GB"/>
              </w:rPr>
              <w:t>family</w:t>
            </w:r>
            <w:r w:rsidRPr="0071320F">
              <w:rPr>
                <w:rFonts w:ascii="Arial" w:hAnsi="Arial" w:cs="Arial"/>
                <w:noProof/>
                <w:color w:val="FFFFFF" w:themeColor="background1"/>
                <w:sz w:val="20"/>
                <w:szCs w:val="20"/>
                <w:lang w:eastAsia="en-GB"/>
              </w:rPr>
              <w:t xml:space="preserve"> to MDT</w:t>
            </w:r>
          </w:p>
          <w:p w:rsidR="00521A2D" w:rsidRPr="0071320F" w:rsidRDefault="00521A2D" w:rsidP="00CE689A">
            <w:pPr>
              <w:cnfStyle w:val="000000100000" w:firstRow="0" w:lastRow="0" w:firstColumn="0" w:lastColumn="0" w:oddVBand="0" w:evenVBand="0" w:oddHBand="1" w:evenHBand="0" w:firstRowFirstColumn="0" w:firstRowLastColumn="0" w:lastRowFirstColumn="0" w:lastRowLastColumn="0"/>
              <w:rPr>
                <w:rFonts w:ascii="Arial" w:hAnsi="Arial" w:cs="Arial"/>
                <w:noProof/>
                <w:color w:val="FFFFFF" w:themeColor="background1"/>
                <w:sz w:val="20"/>
                <w:szCs w:val="20"/>
                <w:lang w:eastAsia="en-GB"/>
              </w:rPr>
            </w:pPr>
            <w:r w:rsidRPr="0071320F">
              <w:rPr>
                <w:rFonts w:ascii="Arial" w:hAnsi="Arial" w:cs="Arial"/>
                <w:noProof/>
                <w:color w:val="FFFFFF" w:themeColor="background1"/>
                <w:sz w:val="20"/>
                <w:szCs w:val="20"/>
                <w:lang w:eastAsia="en-GB"/>
              </w:rPr>
              <w:t>Action plan (stop, start, change, monitoring)</w:t>
            </w:r>
          </w:p>
        </w:tc>
      </w:tr>
      <w:tr w:rsidR="00CE689A" w:rsidRPr="00CE689A" w:rsidTr="00CE689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Borders>
              <w:top w:val="none" w:sz="0" w:space="0" w:color="auto"/>
              <w:left w:val="none" w:sz="0" w:space="0" w:color="auto"/>
              <w:bottom w:val="none" w:sz="0" w:space="0" w:color="auto"/>
              <w:right w:val="none" w:sz="0" w:space="0" w:color="auto"/>
            </w:tcBorders>
            <w:shd w:val="clear" w:color="auto" w:fill="ED174F"/>
          </w:tcPr>
          <w:p w:rsidR="00BD0097" w:rsidRPr="00CE689A" w:rsidRDefault="0087078F" w:rsidP="00E5736C">
            <w:pPr>
              <w:rPr>
                <w:rFonts w:ascii="Arial" w:hAnsi="Arial" w:cs="Arial"/>
                <w:noProof/>
                <w:color w:val="FFFFFF" w:themeColor="background1"/>
                <w:sz w:val="20"/>
                <w:szCs w:val="20"/>
                <w:lang w:eastAsia="en-GB"/>
              </w:rPr>
            </w:pPr>
            <w:r w:rsidRPr="00CE689A">
              <w:rPr>
                <w:rFonts w:ascii="Arial" w:hAnsi="Arial" w:cs="Arial"/>
                <w:noProof/>
                <w:color w:val="FFFFFF" w:themeColor="background1"/>
                <w:sz w:val="20"/>
                <w:szCs w:val="20"/>
                <w:lang w:eastAsia="en-GB"/>
              </w:rPr>
              <w:t>SHARED DECISIONS</w:t>
            </w:r>
          </w:p>
          <w:p w:rsidR="00521A2D" w:rsidRPr="00CE689A" w:rsidRDefault="00521A2D" w:rsidP="00E5736C">
            <w:pPr>
              <w:rPr>
                <w:rFonts w:ascii="Arial" w:hAnsi="Arial" w:cs="Arial"/>
                <w:b w:val="0"/>
                <w:noProof/>
                <w:color w:val="FFFFFF" w:themeColor="background1"/>
                <w:sz w:val="20"/>
                <w:szCs w:val="20"/>
                <w:lang w:eastAsia="en-GB"/>
              </w:rPr>
            </w:pPr>
            <w:r w:rsidRPr="00CE689A">
              <w:rPr>
                <w:rFonts w:ascii="Arial" w:hAnsi="Arial" w:cs="Arial"/>
                <w:b w:val="0"/>
                <w:noProof/>
                <w:color w:val="FFFFFF" w:themeColor="background1"/>
                <w:sz w:val="20"/>
                <w:szCs w:val="20"/>
                <w:lang w:eastAsia="en-GB"/>
              </w:rPr>
              <w:t>(this can happen at the MDT)</w:t>
            </w:r>
          </w:p>
        </w:tc>
        <w:tc>
          <w:tcPr>
            <w:tcW w:w="5812" w:type="dxa"/>
            <w:tcBorders>
              <w:top w:val="none" w:sz="0" w:space="0" w:color="auto"/>
              <w:left w:val="none" w:sz="0" w:space="0" w:color="auto"/>
              <w:bottom w:val="none" w:sz="0" w:space="0" w:color="auto"/>
              <w:right w:val="none" w:sz="0" w:space="0" w:color="auto"/>
            </w:tcBorders>
            <w:shd w:val="clear" w:color="auto" w:fill="ED174F"/>
          </w:tcPr>
          <w:p w:rsidR="00E43E09" w:rsidRPr="0071320F" w:rsidRDefault="00E43E09" w:rsidP="00CE689A">
            <w:pPr>
              <w:cnfStyle w:val="000000010000" w:firstRow="0" w:lastRow="0" w:firstColumn="0" w:lastColumn="0" w:oddVBand="0" w:evenVBand="0" w:oddHBand="0" w:evenHBand="1" w:firstRowFirstColumn="0" w:firstRowLastColumn="0" w:lastRowFirstColumn="0" w:lastRowLastColumn="0"/>
              <w:rPr>
                <w:rFonts w:ascii="Arial" w:hAnsi="Arial" w:cs="Arial"/>
                <w:noProof/>
                <w:color w:val="FFFFFF" w:themeColor="background1"/>
                <w:sz w:val="20"/>
                <w:szCs w:val="20"/>
                <w:lang w:eastAsia="en-GB"/>
              </w:rPr>
            </w:pPr>
            <w:r w:rsidRPr="0071320F">
              <w:rPr>
                <w:rFonts w:ascii="Arial" w:hAnsi="Arial" w:cs="Arial"/>
                <w:noProof/>
                <w:color w:val="FFFFFF" w:themeColor="background1"/>
                <w:sz w:val="20"/>
                <w:szCs w:val="20"/>
                <w:lang w:eastAsia="en-GB"/>
              </w:rPr>
              <w:t>Provide information to residents and families to support decision making</w:t>
            </w:r>
          </w:p>
          <w:p w:rsidR="00BD0097" w:rsidRPr="0071320F" w:rsidRDefault="00521A2D" w:rsidP="00CE689A">
            <w:pPr>
              <w:cnfStyle w:val="000000010000" w:firstRow="0" w:lastRow="0" w:firstColumn="0" w:lastColumn="0" w:oddVBand="0" w:evenVBand="0" w:oddHBand="0" w:evenHBand="1" w:firstRowFirstColumn="0" w:firstRowLastColumn="0" w:lastRowFirstColumn="0" w:lastRowLastColumn="0"/>
              <w:rPr>
                <w:rFonts w:ascii="Arial" w:hAnsi="Arial" w:cs="Arial"/>
                <w:noProof/>
                <w:color w:val="FFFFFF" w:themeColor="background1"/>
                <w:sz w:val="20"/>
                <w:szCs w:val="20"/>
                <w:lang w:eastAsia="en-GB"/>
              </w:rPr>
            </w:pPr>
            <w:r w:rsidRPr="0071320F">
              <w:rPr>
                <w:rFonts w:ascii="Arial" w:hAnsi="Arial" w:cs="Arial"/>
                <w:noProof/>
                <w:color w:val="FFFFFF" w:themeColor="background1"/>
                <w:sz w:val="20"/>
                <w:szCs w:val="20"/>
                <w:lang w:eastAsia="en-GB"/>
              </w:rPr>
              <w:t>Final decision made with resident or family</w:t>
            </w:r>
          </w:p>
          <w:p w:rsidR="00E43E09" w:rsidRPr="0071320F" w:rsidRDefault="00E43E09" w:rsidP="00CE689A">
            <w:pPr>
              <w:cnfStyle w:val="000000010000" w:firstRow="0" w:lastRow="0" w:firstColumn="0" w:lastColumn="0" w:oddVBand="0" w:evenVBand="0" w:oddHBand="0" w:evenHBand="1" w:firstRowFirstColumn="0" w:firstRowLastColumn="0" w:lastRowFirstColumn="0" w:lastRowLastColumn="0"/>
              <w:rPr>
                <w:rFonts w:ascii="Arial" w:hAnsi="Arial" w:cs="Arial"/>
                <w:noProof/>
                <w:color w:val="FFFFFF" w:themeColor="background1"/>
                <w:sz w:val="20"/>
                <w:szCs w:val="20"/>
                <w:lang w:eastAsia="en-GB"/>
              </w:rPr>
            </w:pPr>
            <w:r w:rsidRPr="0071320F">
              <w:rPr>
                <w:rFonts w:ascii="Arial" w:hAnsi="Arial" w:cs="Arial"/>
                <w:noProof/>
                <w:color w:val="FFFFFF" w:themeColor="background1"/>
                <w:sz w:val="20"/>
                <w:szCs w:val="20"/>
                <w:lang w:eastAsia="en-GB"/>
              </w:rPr>
              <w:t>Consider lay letters for family who cannot attend the review</w:t>
            </w:r>
          </w:p>
          <w:p w:rsidR="00E43E09" w:rsidRPr="0071320F" w:rsidRDefault="00E43E09" w:rsidP="00CE689A">
            <w:pPr>
              <w:cnfStyle w:val="000000010000" w:firstRow="0" w:lastRow="0" w:firstColumn="0" w:lastColumn="0" w:oddVBand="0" w:evenVBand="0" w:oddHBand="0" w:evenHBand="1" w:firstRowFirstColumn="0" w:firstRowLastColumn="0" w:lastRowFirstColumn="0" w:lastRowLastColumn="0"/>
              <w:rPr>
                <w:rFonts w:ascii="Arial" w:hAnsi="Arial" w:cs="Arial"/>
                <w:noProof/>
                <w:color w:val="FFFFFF" w:themeColor="background1"/>
                <w:sz w:val="20"/>
                <w:szCs w:val="20"/>
                <w:lang w:eastAsia="en-GB"/>
              </w:rPr>
            </w:pPr>
          </w:p>
        </w:tc>
      </w:tr>
      <w:tr w:rsidR="00723A61" w:rsidRPr="00CE689A" w:rsidTr="00CE68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Borders>
              <w:top w:val="none" w:sz="0" w:space="0" w:color="auto"/>
              <w:left w:val="none" w:sz="0" w:space="0" w:color="auto"/>
              <w:bottom w:val="none" w:sz="0" w:space="0" w:color="auto"/>
              <w:right w:val="none" w:sz="0" w:space="0" w:color="auto"/>
            </w:tcBorders>
            <w:shd w:val="clear" w:color="auto" w:fill="ED174F"/>
          </w:tcPr>
          <w:p w:rsidR="00BD0097" w:rsidRPr="00CE689A" w:rsidRDefault="0087078F" w:rsidP="00E5736C">
            <w:pPr>
              <w:rPr>
                <w:rFonts w:ascii="Arial" w:hAnsi="Arial" w:cs="Arial"/>
                <w:noProof/>
                <w:color w:val="FFFFFF" w:themeColor="background1"/>
                <w:sz w:val="20"/>
                <w:szCs w:val="20"/>
                <w:lang w:eastAsia="en-GB"/>
              </w:rPr>
            </w:pPr>
            <w:r w:rsidRPr="00CE689A">
              <w:rPr>
                <w:rFonts w:ascii="Arial" w:hAnsi="Arial" w:cs="Arial"/>
                <w:noProof/>
                <w:color w:val="FFFFFF" w:themeColor="background1"/>
                <w:sz w:val="20"/>
                <w:szCs w:val="20"/>
                <w:lang w:eastAsia="en-GB"/>
              </w:rPr>
              <w:t>FOLLOW UP</w:t>
            </w:r>
          </w:p>
          <w:p w:rsidR="00E43E09" w:rsidRPr="00CE689A" w:rsidRDefault="00E43E09" w:rsidP="00CE689A">
            <w:pPr>
              <w:rPr>
                <w:rFonts w:ascii="Arial" w:hAnsi="Arial" w:cs="Arial"/>
                <w:b w:val="0"/>
                <w:noProof/>
                <w:color w:val="FFFFFF" w:themeColor="background1"/>
                <w:sz w:val="20"/>
                <w:szCs w:val="20"/>
                <w:lang w:eastAsia="en-GB"/>
              </w:rPr>
            </w:pPr>
            <w:r w:rsidRPr="00CE689A">
              <w:rPr>
                <w:rFonts w:ascii="Arial" w:hAnsi="Arial" w:cs="Arial"/>
                <w:b w:val="0"/>
                <w:noProof/>
                <w:color w:val="FFFFFF" w:themeColor="background1"/>
                <w:sz w:val="20"/>
                <w:szCs w:val="20"/>
                <w:lang w:eastAsia="en-GB"/>
              </w:rPr>
              <w:t>At the MDT individual(s) should be identified to follow up residents after any interventions are made.</w:t>
            </w:r>
          </w:p>
          <w:p w:rsidR="00E43E09" w:rsidRPr="00CE689A" w:rsidRDefault="00E43E09" w:rsidP="00CE689A">
            <w:pPr>
              <w:rPr>
                <w:rFonts w:ascii="Arial" w:hAnsi="Arial" w:cs="Arial"/>
                <w:b w:val="0"/>
                <w:noProof/>
                <w:color w:val="FFFFFF" w:themeColor="background1"/>
                <w:sz w:val="20"/>
                <w:szCs w:val="20"/>
                <w:lang w:eastAsia="en-GB"/>
              </w:rPr>
            </w:pPr>
          </w:p>
          <w:p w:rsidR="00521A2D" w:rsidRPr="00CE689A" w:rsidRDefault="00E43E09" w:rsidP="00CE689A">
            <w:pPr>
              <w:rPr>
                <w:rFonts w:ascii="Arial" w:hAnsi="Arial" w:cs="Arial"/>
                <w:b w:val="0"/>
                <w:noProof/>
                <w:color w:val="FFFFFF" w:themeColor="background1"/>
                <w:sz w:val="20"/>
                <w:szCs w:val="20"/>
                <w:lang w:eastAsia="en-GB"/>
              </w:rPr>
            </w:pPr>
            <w:r w:rsidRPr="00CE689A">
              <w:rPr>
                <w:rFonts w:ascii="Arial" w:hAnsi="Arial" w:cs="Arial"/>
                <w:b w:val="0"/>
                <w:noProof/>
                <w:color w:val="FFFFFF" w:themeColor="background1"/>
                <w:sz w:val="20"/>
                <w:szCs w:val="20"/>
                <w:lang w:eastAsia="en-GB"/>
              </w:rPr>
              <w:t>This may be the pharmacist, care home nurse or any other appropriate person involved in the patient’s care</w:t>
            </w:r>
          </w:p>
        </w:tc>
        <w:tc>
          <w:tcPr>
            <w:tcW w:w="5812" w:type="dxa"/>
            <w:tcBorders>
              <w:top w:val="none" w:sz="0" w:space="0" w:color="auto"/>
              <w:left w:val="none" w:sz="0" w:space="0" w:color="auto"/>
              <w:bottom w:val="none" w:sz="0" w:space="0" w:color="auto"/>
              <w:right w:val="none" w:sz="0" w:space="0" w:color="auto"/>
            </w:tcBorders>
            <w:shd w:val="clear" w:color="auto" w:fill="ED174F"/>
          </w:tcPr>
          <w:p w:rsidR="00E43E09" w:rsidRPr="0071320F" w:rsidRDefault="00521A2D" w:rsidP="00CE689A">
            <w:pPr>
              <w:cnfStyle w:val="000000100000" w:firstRow="0" w:lastRow="0" w:firstColumn="0" w:lastColumn="0" w:oddVBand="0" w:evenVBand="0" w:oddHBand="1" w:evenHBand="0" w:firstRowFirstColumn="0" w:firstRowLastColumn="0" w:lastRowFirstColumn="0" w:lastRowLastColumn="0"/>
              <w:rPr>
                <w:rFonts w:ascii="Arial" w:hAnsi="Arial" w:cs="Arial"/>
                <w:noProof/>
                <w:color w:val="FFFFFF" w:themeColor="background1"/>
                <w:sz w:val="20"/>
                <w:szCs w:val="20"/>
                <w:lang w:eastAsia="en-GB"/>
              </w:rPr>
            </w:pPr>
            <w:r w:rsidRPr="0071320F">
              <w:rPr>
                <w:rFonts w:ascii="Arial" w:hAnsi="Arial" w:cs="Arial"/>
                <w:noProof/>
                <w:color w:val="FFFFFF" w:themeColor="background1"/>
                <w:sz w:val="20"/>
                <w:szCs w:val="20"/>
                <w:lang w:eastAsia="en-GB"/>
              </w:rPr>
              <w:t>Give care home staff and residents (or family) the opportunity to report any event following intervention</w:t>
            </w:r>
            <w:r w:rsidR="00F94189" w:rsidRPr="0071320F">
              <w:rPr>
                <w:rFonts w:ascii="Arial" w:hAnsi="Arial" w:cs="Arial"/>
                <w:noProof/>
                <w:color w:val="FFFFFF" w:themeColor="background1"/>
                <w:sz w:val="20"/>
                <w:szCs w:val="20"/>
                <w:lang w:eastAsia="en-GB"/>
              </w:rPr>
              <w:t xml:space="preserve"> (</w:t>
            </w:r>
            <w:r w:rsidR="00E43E09" w:rsidRPr="0071320F">
              <w:rPr>
                <w:rFonts w:ascii="Arial" w:hAnsi="Arial" w:cs="Arial"/>
                <w:noProof/>
                <w:color w:val="FFFFFF" w:themeColor="background1"/>
                <w:sz w:val="20"/>
                <w:szCs w:val="20"/>
                <w:lang w:eastAsia="en-GB"/>
              </w:rPr>
              <w:t xml:space="preserve">e.g. telephone support, email) </w:t>
            </w:r>
          </w:p>
          <w:p w:rsidR="00521A2D" w:rsidRPr="0071320F" w:rsidRDefault="00521A2D" w:rsidP="00CE689A">
            <w:pPr>
              <w:cnfStyle w:val="000000100000" w:firstRow="0" w:lastRow="0" w:firstColumn="0" w:lastColumn="0" w:oddVBand="0" w:evenVBand="0" w:oddHBand="1" w:evenHBand="0" w:firstRowFirstColumn="0" w:firstRowLastColumn="0" w:lastRowFirstColumn="0" w:lastRowLastColumn="0"/>
              <w:rPr>
                <w:rFonts w:ascii="Arial" w:hAnsi="Arial" w:cs="Arial"/>
                <w:noProof/>
                <w:color w:val="FFFFFF" w:themeColor="background1"/>
                <w:sz w:val="20"/>
                <w:szCs w:val="20"/>
                <w:lang w:eastAsia="en-GB"/>
              </w:rPr>
            </w:pPr>
            <w:r w:rsidRPr="0071320F">
              <w:rPr>
                <w:rFonts w:ascii="Arial" w:hAnsi="Arial" w:cs="Arial"/>
                <w:noProof/>
                <w:color w:val="FFFFFF" w:themeColor="background1"/>
                <w:sz w:val="20"/>
                <w:szCs w:val="20"/>
                <w:lang w:eastAsia="en-GB"/>
              </w:rPr>
              <w:t xml:space="preserve">Review (can be telephone) 2-4 weeks after intervention </w:t>
            </w:r>
          </w:p>
        </w:tc>
      </w:tr>
    </w:tbl>
    <w:p w:rsidR="00BD0097" w:rsidRPr="00CE689A" w:rsidRDefault="00BD0097" w:rsidP="00EB0CF4">
      <w:pPr>
        <w:spacing w:after="0"/>
        <w:jc w:val="both"/>
        <w:rPr>
          <w:rFonts w:ascii="Arial" w:hAnsi="Arial" w:cs="Arial"/>
          <w:sz w:val="20"/>
          <w:szCs w:val="20"/>
        </w:rPr>
      </w:pPr>
    </w:p>
    <w:p w:rsidR="00EB0CF4" w:rsidRPr="00CE689A" w:rsidRDefault="00521A2D" w:rsidP="00EB0CF4">
      <w:pPr>
        <w:spacing w:after="0"/>
        <w:jc w:val="both"/>
        <w:rPr>
          <w:rFonts w:ascii="Arial" w:hAnsi="Arial" w:cs="Arial"/>
          <w:noProof/>
          <w:sz w:val="20"/>
          <w:szCs w:val="20"/>
          <w:lang w:eastAsia="en-GB"/>
        </w:rPr>
      </w:pPr>
      <w:r w:rsidRPr="00CE689A">
        <w:rPr>
          <w:rFonts w:ascii="Arial" w:hAnsi="Arial" w:cs="Arial"/>
          <w:noProof/>
          <w:sz w:val="20"/>
          <w:szCs w:val="20"/>
          <w:lang w:eastAsia="en-GB"/>
        </w:rPr>
        <w:t xml:space="preserve">For every medicine taken by the resident, </w:t>
      </w:r>
      <w:r w:rsidRPr="00CE689A">
        <w:rPr>
          <w:rFonts w:ascii="Arial" w:hAnsi="Arial" w:cs="Arial"/>
          <w:b/>
          <w:noProof/>
          <w:sz w:val="20"/>
          <w:szCs w:val="20"/>
          <w:lang w:eastAsia="en-GB"/>
        </w:rPr>
        <w:t>ASK THREE QUESTIONS</w:t>
      </w:r>
      <w:r w:rsidRPr="00CE689A">
        <w:rPr>
          <w:rFonts w:ascii="Arial" w:hAnsi="Arial" w:cs="Arial"/>
          <w:noProof/>
          <w:sz w:val="20"/>
          <w:szCs w:val="20"/>
          <w:lang w:eastAsia="en-GB"/>
        </w:rPr>
        <w:t>:</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ED174F"/>
        <w:tblLook w:val="0480" w:firstRow="0" w:lastRow="0" w:firstColumn="1" w:lastColumn="0" w:noHBand="0" w:noVBand="1"/>
      </w:tblPr>
      <w:tblGrid>
        <w:gridCol w:w="3696"/>
        <w:gridCol w:w="5025"/>
        <w:gridCol w:w="1961"/>
      </w:tblGrid>
      <w:tr w:rsidR="00CE689A" w:rsidRPr="00CE689A" w:rsidTr="00CE689A">
        <w:tc>
          <w:tcPr>
            <w:tcW w:w="3936" w:type="dxa"/>
            <w:shd w:val="clear" w:color="auto" w:fill="ED174F"/>
          </w:tcPr>
          <w:p w:rsidR="000A0CD8" w:rsidRPr="00CE689A" w:rsidRDefault="000A0CD8" w:rsidP="000A0CD8">
            <w:pPr>
              <w:rPr>
                <w:rFonts w:ascii="Arial" w:hAnsi="Arial" w:cs="Arial"/>
                <w:b/>
                <w:noProof/>
                <w:color w:val="FFFFFF" w:themeColor="background1"/>
                <w:sz w:val="20"/>
                <w:szCs w:val="20"/>
                <w:lang w:eastAsia="en-GB"/>
              </w:rPr>
            </w:pPr>
            <w:r w:rsidRPr="00CE689A">
              <w:rPr>
                <w:rFonts w:ascii="Arial" w:hAnsi="Arial" w:cs="Arial"/>
                <w:b/>
                <w:noProof/>
                <w:color w:val="FFFFFF" w:themeColor="background1"/>
                <w:sz w:val="20"/>
                <w:szCs w:val="20"/>
                <w:lang w:eastAsia="en-GB"/>
              </w:rPr>
              <w:t>Does the medicine have an indication and is that indication appropriate given current co-morbidity?</w:t>
            </w:r>
          </w:p>
        </w:tc>
        <w:tc>
          <w:tcPr>
            <w:tcW w:w="5386" w:type="dxa"/>
            <w:shd w:val="clear" w:color="auto" w:fill="ED174F"/>
          </w:tcPr>
          <w:p w:rsidR="000A0CD8" w:rsidRPr="00CE689A" w:rsidRDefault="000A0CD8" w:rsidP="000A0CD8">
            <w:pPr>
              <w:pStyle w:val="ListParagraph"/>
              <w:numPr>
                <w:ilvl w:val="0"/>
                <w:numId w:val="4"/>
              </w:numPr>
              <w:jc w:val="both"/>
              <w:rPr>
                <w:rFonts w:ascii="Arial" w:hAnsi="Arial" w:cs="Arial"/>
                <w:noProof/>
                <w:color w:val="FFFFFF" w:themeColor="background1"/>
                <w:sz w:val="20"/>
                <w:szCs w:val="20"/>
                <w:lang w:eastAsia="en-GB"/>
              </w:rPr>
            </w:pPr>
            <w:r w:rsidRPr="00CE689A">
              <w:rPr>
                <w:rFonts w:ascii="Arial" w:hAnsi="Arial" w:cs="Arial"/>
                <w:noProof/>
                <w:color w:val="FFFFFF" w:themeColor="background1"/>
                <w:sz w:val="20"/>
                <w:szCs w:val="20"/>
                <w:lang w:eastAsia="en-GB"/>
              </w:rPr>
              <w:t>Medicines may have been prescribed for a short course</w:t>
            </w:r>
          </w:p>
          <w:p w:rsidR="000A0CD8" w:rsidRPr="00CE689A" w:rsidRDefault="000A0CD8" w:rsidP="000A0CD8">
            <w:pPr>
              <w:pStyle w:val="ListParagraph"/>
              <w:numPr>
                <w:ilvl w:val="0"/>
                <w:numId w:val="4"/>
              </w:numPr>
              <w:jc w:val="both"/>
              <w:rPr>
                <w:rFonts w:ascii="Arial" w:hAnsi="Arial" w:cs="Arial"/>
                <w:noProof/>
                <w:color w:val="FFFFFF" w:themeColor="background1"/>
                <w:sz w:val="20"/>
                <w:szCs w:val="20"/>
                <w:lang w:eastAsia="en-GB"/>
              </w:rPr>
            </w:pPr>
            <w:r w:rsidRPr="00CE689A">
              <w:rPr>
                <w:rFonts w:ascii="Arial" w:hAnsi="Arial" w:cs="Arial"/>
                <w:noProof/>
                <w:color w:val="FFFFFF" w:themeColor="background1"/>
                <w:sz w:val="20"/>
                <w:szCs w:val="20"/>
                <w:lang w:eastAsia="en-GB"/>
              </w:rPr>
              <w:t>Risk vs benefit</w:t>
            </w:r>
          </w:p>
          <w:p w:rsidR="000A0CD8" w:rsidRPr="00CE689A" w:rsidRDefault="000A0CD8" w:rsidP="000A0CD8">
            <w:pPr>
              <w:pStyle w:val="ListParagraph"/>
              <w:numPr>
                <w:ilvl w:val="0"/>
                <w:numId w:val="4"/>
              </w:numPr>
              <w:jc w:val="both"/>
              <w:rPr>
                <w:rFonts w:ascii="Arial" w:hAnsi="Arial" w:cs="Arial"/>
                <w:noProof/>
                <w:color w:val="FFFFFF" w:themeColor="background1"/>
                <w:sz w:val="20"/>
                <w:szCs w:val="20"/>
                <w:lang w:eastAsia="en-GB"/>
              </w:rPr>
            </w:pPr>
            <w:r w:rsidRPr="00CE689A">
              <w:rPr>
                <w:rFonts w:ascii="Arial" w:hAnsi="Arial" w:cs="Arial"/>
                <w:noProof/>
                <w:color w:val="FFFFFF" w:themeColor="background1"/>
                <w:sz w:val="20"/>
                <w:szCs w:val="20"/>
                <w:lang w:eastAsia="en-GB"/>
              </w:rPr>
              <w:t>Consider ethical issues around prescribing medicines at the end of life</w:t>
            </w:r>
          </w:p>
          <w:p w:rsidR="000A0CD8" w:rsidRPr="00CE689A" w:rsidRDefault="000A0CD8" w:rsidP="00E43E09">
            <w:pPr>
              <w:jc w:val="both"/>
              <w:rPr>
                <w:rFonts w:ascii="Arial" w:hAnsi="Arial" w:cs="Arial"/>
                <w:noProof/>
                <w:color w:val="FFFFFF" w:themeColor="background1"/>
                <w:sz w:val="20"/>
                <w:szCs w:val="20"/>
                <w:lang w:eastAsia="en-GB"/>
              </w:rPr>
            </w:pPr>
          </w:p>
        </w:tc>
        <w:tc>
          <w:tcPr>
            <w:tcW w:w="1360" w:type="dxa"/>
            <w:vMerge w:val="restart"/>
            <w:shd w:val="clear" w:color="auto" w:fill="ED174F"/>
            <w:vAlign w:val="center"/>
          </w:tcPr>
          <w:p w:rsidR="000A0CD8" w:rsidRPr="00CE689A" w:rsidRDefault="000A0CD8" w:rsidP="000A0CD8">
            <w:pPr>
              <w:jc w:val="center"/>
              <w:rPr>
                <w:rFonts w:ascii="Arial" w:hAnsi="Arial" w:cs="Arial"/>
                <w:b/>
                <w:noProof/>
                <w:color w:val="FFFFFF" w:themeColor="background1"/>
                <w:sz w:val="20"/>
                <w:szCs w:val="20"/>
                <w:lang w:eastAsia="en-GB"/>
              </w:rPr>
            </w:pPr>
            <w:r w:rsidRPr="00CE689A">
              <w:rPr>
                <w:rFonts w:ascii="Arial" w:hAnsi="Arial" w:cs="Arial"/>
                <w:b/>
                <w:noProof/>
                <w:color w:val="FFFFFF" w:themeColor="background1"/>
                <w:sz w:val="20"/>
                <w:szCs w:val="20"/>
                <w:lang w:eastAsia="en-GB"/>
              </w:rPr>
              <w:t>FULLY INVOLVE RESIDENTS OR THEIR FAMILIES &amp; ADVOCATES IN THESE CONVERSATIONS</w:t>
            </w:r>
          </w:p>
        </w:tc>
      </w:tr>
      <w:tr w:rsidR="00CE689A" w:rsidRPr="00CE689A" w:rsidTr="00CE689A">
        <w:tc>
          <w:tcPr>
            <w:tcW w:w="3936" w:type="dxa"/>
            <w:shd w:val="clear" w:color="auto" w:fill="ED174F"/>
          </w:tcPr>
          <w:p w:rsidR="000A0CD8" w:rsidRPr="00CE689A" w:rsidRDefault="000A0CD8" w:rsidP="006C0953">
            <w:pPr>
              <w:jc w:val="both"/>
              <w:rPr>
                <w:rFonts w:ascii="Arial" w:hAnsi="Arial" w:cs="Arial"/>
                <w:b/>
                <w:noProof/>
                <w:color w:val="FFFFFF" w:themeColor="background1"/>
                <w:sz w:val="20"/>
                <w:szCs w:val="20"/>
                <w:lang w:eastAsia="en-GB"/>
              </w:rPr>
            </w:pPr>
            <w:r w:rsidRPr="00CE689A">
              <w:rPr>
                <w:rFonts w:ascii="Arial" w:hAnsi="Arial" w:cs="Arial"/>
                <w:b/>
                <w:noProof/>
                <w:color w:val="FFFFFF" w:themeColor="background1"/>
                <w:sz w:val="20"/>
                <w:szCs w:val="20"/>
                <w:lang w:eastAsia="en-GB"/>
              </w:rPr>
              <w:t>Is the medicine safe and appropriate?</w:t>
            </w:r>
          </w:p>
        </w:tc>
        <w:tc>
          <w:tcPr>
            <w:tcW w:w="5386" w:type="dxa"/>
            <w:shd w:val="clear" w:color="auto" w:fill="ED174F"/>
          </w:tcPr>
          <w:p w:rsidR="000A0CD8" w:rsidRPr="00CE689A" w:rsidRDefault="000A0CD8" w:rsidP="000A0CD8">
            <w:pPr>
              <w:pStyle w:val="ListParagraph"/>
              <w:numPr>
                <w:ilvl w:val="0"/>
                <w:numId w:val="5"/>
              </w:numPr>
              <w:jc w:val="both"/>
              <w:rPr>
                <w:rFonts w:ascii="Arial" w:hAnsi="Arial" w:cs="Arial"/>
                <w:noProof/>
                <w:color w:val="FFFFFF" w:themeColor="background1"/>
                <w:sz w:val="20"/>
                <w:szCs w:val="20"/>
                <w:lang w:eastAsia="en-GB"/>
              </w:rPr>
            </w:pPr>
            <w:r w:rsidRPr="00CE689A">
              <w:rPr>
                <w:rFonts w:ascii="Arial" w:hAnsi="Arial" w:cs="Arial"/>
                <w:noProof/>
                <w:color w:val="FFFFFF" w:themeColor="background1"/>
                <w:sz w:val="20"/>
                <w:szCs w:val="20"/>
                <w:lang w:eastAsia="en-GB"/>
              </w:rPr>
              <w:t>Drug-drug and drug-food interactions</w:t>
            </w:r>
          </w:p>
          <w:p w:rsidR="000A0CD8" w:rsidRPr="00CE689A" w:rsidRDefault="000A0CD8" w:rsidP="000A0CD8">
            <w:pPr>
              <w:pStyle w:val="ListParagraph"/>
              <w:numPr>
                <w:ilvl w:val="0"/>
                <w:numId w:val="5"/>
              </w:numPr>
              <w:jc w:val="both"/>
              <w:rPr>
                <w:rFonts w:ascii="Arial" w:hAnsi="Arial" w:cs="Arial"/>
                <w:noProof/>
                <w:color w:val="FFFFFF" w:themeColor="background1"/>
                <w:sz w:val="20"/>
                <w:szCs w:val="20"/>
                <w:lang w:eastAsia="en-GB"/>
              </w:rPr>
            </w:pPr>
            <w:r w:rsidRPr="00CE689A">
              <w:rPr>
                <w:rFonts w:ascii="Arial" w:hAnsi="Arial" w:cs="Arial"/>
                <w:noProof/>
                <w:color w:val="FFFFFF" w:themeColor="background1"/>
                <w:sz w:val="20"/>
                <w:szCs w:val="20"/>
                <w:lang w:eastAsia="en-GB"/>
              </w:rPr>
              <w:t xml:space="preserve">Drug-disease interaction (e.g. </w:t>
            </w:r>
            <w:r w:rsidR="0071320F">
              <w:rPr>
                <w:rFonts w:ascii="Arial" w:hAnsi="Arial" w:cs="Arial"/>
                <w:noProof/>
                <w:color w:val="FFFFFF" w:themeColor="background1"/>
                <w:sz w:val="20"/>
                <w:szCs w:val="20"/>
                <w:lang w:eastAsia="en-GB"/>
              </w:rPr>
              <w:t>NSAIDs in chronic kidney disease</w:t>
            </w:r>
            <w:r w:rsidRPr="00CE689A">
              <w:rPr>
                <w:rFonts w:ascii="Arial" w:hAnsi="Arial" w:cs="Arial"/>
                <w:noProof/>
                <w:color w:val="FFFFFF" w:themeColor="background1"/>
                <w:sz w:val="20"/>
                <w:szCs w:val="20"/>
                <w:lang w:eastAsia="en-GB"/>
              </w:rPr>
              <w:t>)</w:t>
            </w:r>
          </w:p>
          <w:p w:rsidR="000A0CD8" w:rsidRPr="00CE689A" w:rsidRDefault="000A0CD8" w:rsidP="000A0CD8">
            <w:pPr>
              <w:pStyle w:val="ListParagraph"/>
              <w:numPr>
                <w:ilvl w:val="0"/>
                <w:numId w:val="5"/>
              </w:numPr>
              <w:jc w:val="both"/>
              <w:rPr>
                <w:rFonts w:ascii="Arial" w:hAnsi="Arial" w:cs="Arial"/>
                <w:noProof/>
                <w:color w:val="FFFFFF" w:themeColor="background1"/>
                <w:sz w:val="20"/>
                <w:szCs w:val="20"/>
                <w:lang w:eastAsia="en-GB"/>
              </w:rPr>
            </w:pPr>
            <w:r w:rsidRPr="00CE689A">
              <w:rPr>
                <w:rFonts w:ascii="Arial" w:hAnsi="Arial" w:cs="Arial"/>
                <w:noProof/>
                <w:color w:val="FFFFFF" w:themeColor="background1"/>
                <w:sz w:val="20"/>
                <w:szCs w:val="20"/>
                <w:lang w:eastAsia="en-GB"/>
              </w:rPr>
              <w:t>Dose</w:t>
            </w:r>
          </w:p>
          <w:p w:rsidR="000A0CD8" w:rsidRPr="00CE689A" w:rsidRDefault="000A0CD8" w:rsidP="000A0CD8">
            <w:pPr>
              <w:pStyle w:val="ListParagraph"/>
              <w:numPr>
                <w:ilvl w:val="0"/>
                <w:numId w:val="5"/>
              </w:numPr>
              <w:jc w:val="both"/>
              <w:rPr>
                <w:rFonts w:ascii="Arial" w:hAnsi="Arial" w:cs="Arial"/>
                <w:noProof/>
                <w:color w:val="FFFFFF" w:themeColor="background1"/>
                <w:sz w:val="20"/>
                <w:szCs w:val="20"/>
                <w:lang w:eastAsia="en-GB"/>
              </w:rPr>
            </w:pPr>
            <w:r w:rsidRPr="00CE689A">
              <w:rPr>
                <w:rFonts w:ascii="Arial" w:hAnsi="Arial" w:cs="Arial"/>
                <w:noProof/>
                <w:color w:val="FFFFFF" w:themeColor="background1"/>
                <w:sz w:val="20"/>
                <w:szCs w:val="20"/>
                <w:lang w:eastAsia="en-GB"/>
              </w:rPr>
              <w:t>Formulation (e.g. swallowing problems)</w:t>
            </w:r>
          </w:p>
          <w:p w:rsidR="000A0CD8" w:rsidRPr="00CE689A" w:rsidRDefault="000A0CD8" w:rsidP="00E43E09">
            <w:pPr>
              <w:jc w:val="both"/>
              <w:rPr>
                <w:rFonts w:ascii="Arial" w:hAnsi="Arial" w:cs="Arial"/>
                <w:noProof/>
                <w:color w:val="FFFFFF" w:themeColor="background1"/>
                <w:sz w:val="20"/>
                <w:szCs w:val="20"/>
                <w:lang w:eastAsia="en-GB"/>
              </w:rPr>
            </w:pPr>
          </w:p>
        </w:tc>
        <w:tc>
          <w:tcPr>
            <w:tcW w:w="1360" w:type="dxa"/>
            <w:vMerge/>
            <w:shd w:val="clear" w:color="auto" w:fill="ED174F"/>
          </w:tcPr>
          <w:p w:rsidR="000A0CD8" w:rsidRPr="00CE689A" w:rsidRDefault="000A0CD8" w:rsidP="000A0CD8">
            <w:pPr>
              <w:jc w:val="center"/>
              <w:rPr>
                <w:rFonts w:ascii="Arial" w:hAnsi="Arial" w:cs="Arial"/>
                <w:noProof/>
                <w:color w:val="FFFFFF" w:themeColor="background1"/>
                <w:sz w:val="20"/>
                <w:szCs w:val="20"/>
                <w:lang w:eastAsia="en-GB"/>
              </w:rPr>
            </w:pPr>
          </w:p>
        </w:tc>
      </w:tr>
      <w:tr w:rsidR="00CE689A" w:rsidRPr="00CE689A" w:rsidTr="00CE689A">
        <w:tc>
          <w:tcPr>
            <w:tcW w:w="3936" w:type="dxa"/>
            <w:shd w:val="clear" w:color="auto" w:fill="ED174F"/>
          </w:tcPr>
          <w:p w:rsidR="000A0CD8" w:rsidRPr="00CE689A" w:rsidRDefault="000A0CD8" w:rsidP="00723A61">
            <w:pPr>
              <w:rPr>
                <w:rFonts w:ascii="Arial" w:hAnsi="Arial" w:cs="Arial"/>
                <w:b/>
                <w:noProof/>
                <w:color w:val="FFFFFF" w:themeColor="background1"/>
                <w:sz w:val="20"/>
                <w:szCs w:val="20"/>
                <w:lang w:eastAsia="en-GB"/>
              </w:rPr>
            </w:pPr>
            <w:r w:rsidRPr="00CE689A">
              <w:rPr>
                <w:rFonts w:ascii="Arial" w:hAnsi="Arial" w:cs="Arial"/>
                <w:b/>
                <w:noProof/>
                <w:color w:val="FFFFFF" w:themeColor="background1"/>
                <w:sz w:val="20"/>
                <w:szCs w:val="20"/>
                <w:lang w:eastAsia="en-GB"/>
              </w:rPr>
              <w:t>Does the res</w:t>
            </w:r>
            <w:r w:rsidR="00723A61" w:rsidRPr="00CE689A">
              <w:rPr>
                <w:rFonts w:ascii="Arial" w:hAnsi="Arial" w:cs="Arial"/>
                <w:b/>
                <w:noProof/>
                <w:color w:val="FFFFFF" w:themeColor="background1"/>
                <w:sz w:val="20"/>
                <w:szCs w:val="20"/>
                <w:lang w:eastAsia="en-GB"/>
              </w:rPr>
              <w:t>ident want to take the medicine?</w:t>
            </w:r>
          </w:p>
        </w:tc>
        <w:tc>
          <w:tcPr>
            <w:tcW w:w="5386" w:type="dxa"/>
            <w:shd w:val="clear" w:color="auto" w:fill="ED174F"/>
          </w:tcPr>
          <w:p w:rsidR="000A0CD8" w:rsidRPr="00CE689A" w:rsidRDefault="000A0CD8" w:rsidP="000A0CD8">
            <w:pPr>
              <w:pStyle w:val="ListParagraph"/>
              <w:numPr>
                <w:ilvl w:val="0"/>
                <w:numId w:val="6"/>
              </w:numPr>
              <w:jc w:val="both"/>
              <w:rPr>
                <w:rFonts w:ascii="Arial" w:hAnsi="Arial" w:cs="Arial"/>
                <w:noProof/>
                <w:color w:val="FFFFFF" w:themeColor="background1"/>
                <w:sz w:val="20"/>
                <w:szCs w:val="20"/>
                <w:lang w:eastAsia="en-GB"/>
              </w:rPr>
            </w:pPr>
            <w:r w:rsidRPr="00CE689A">
              <w:rPr>
                <w:rFonts w:ascii="Arial" w:hAnsi="Arial" w:cs="Arial"/>
                <w:noProof/>
                <w:color w:val="FFFFFF" w:themeColor="background1"/>
                <w:sz w:val="20"/>
                <w:szCs w:val="20"/>
                <w:lang w:eastAsia="en-GB"/>
              </w:rPr>
              <w:t>Check adherance</w:t>
            </w:r>
          </w:p>
          <w:p w:rsidR="000A0CD8" w:rsidRPr="00CE689A" w:rsidRDefault="000A0CD8" w:rsidP="000A0CD8">
            <w:pPr>
              <w:pStyle w:val="ListParagraph"/>
              <w:numPr>
                <w:ilvl w:val="0"/>
                <w:numId w:val="6"/>
              </w:numPr>
              <w:jc w:val="both"/>
              <w:rPr>
                <w:rFonts w:ascii="Arial" w:hAnsi="Arial" w:cs="Arial"/>
                <w:noProof/>
                <w:color w:val="FFFFFF" w:themeColor="background1"/>
                <w:sz w:val="20"/>
                <w:szCs w:val="20"/>
                <w:lang w:eastAsia="en-GB"/>
              </w:rPr>
            </w:pPr>
            <w:r w:rsidRPr="00CE689A">
              <w:rPr>
                <w:rFonts w:ascii="Arial" w:hAnsi="Arial" w:cs="Arial"/>
                <w:noProof/>
                <w:color w:val="FFFFFF" w:themeColor="background1"/>
                <w:sz w:val="20"/>
                <w:szCs w:val="20"/>
                <w:lang w:eastAsia="en-GB"/>
              </w:rPr>
              <w:t>Ascertain reasons for non-</w:t>
            </w:r>
            <w:r w:rsidR="006C0953" w:rsidRPr="00CE689A">
              <w:rPr>
                <w:rFonts w:ascii="Arial" w:hAnsi="Arial" w:cs="Arial"/>
                <w:noProof/>
                <w:color w:val="FFFFFF" w:themeColor="background1"/>
                <w:sz w:val="20"/>
                <w:szCs w:val="20"/>
                <w:lang w:eastAsia="en-GB"/>
              </w:rPr>
              <w:t>adher</w:t>
            </w:r>
            <w:r w:rsidR="006C0953">
              <w:rPr>
                <w:rFonts w:ascii="Arial" w:hAnsi="Arial" w:cs="Arial"/>
                <w:noProof/>
                <w:color w:val="FFFFFF" w:themeColor="background1"/>
                <w:sz w:val="20"/>
                <w:szCs w:val="20"/>
                <w:lang w:eastAsia="en-GB"/>
              </w:rPr>
              <w:t>e</w:t>
            </w:r>
            <w:r w:rsidR="006C0953" w:rsidRPr="00CE689A">
              <w:rPr>
                <w:rFonts w:ascii="Arial" w:hAnsi="Arial" w:cs="Arial"/>
                <w:noProof/>
                <w:color w:val="FFFFFF" w:themeColor="background1"/>
                <w:sz w:val="20"/>
                <w:szCs w:val="20"/>
                <w:lang w:eastAsia="en-GB"/>
              </w:rPr>
              <w:t xml:space="preserve">nce </w:t>
            </w:r>
            <w:r w:rsidRPr="00CE689A">
              <w:rPr>
                <w:rFonts w:ascii="Arial" w:hAnsi="Arial" w:cs="Arial"/>
                <w:noProof/>
                <w:color w:val="FFFFFF" w:themeColor="background1"/>
                <w:sz w:val="20"/>
                <w:szCs w:val="20"/>
                <w:lang w:eastAsia="en-GB"/>
              </w:rPr>
              <w:t>(intentional or unintentional)</w:t>
            </w:r>
          </w:p>
          <w:p w:rsidR="000A0CD8" w:rsidRPr="00CE689A" w:rsidRDefault="000A0CD8" w:rsidP="000A0CD8">
            <w:pPr>
              <w:pStyle w:val="ListParagraph"/>
              <w:numPr>
                <w:ilvl w:val="0"/>
                <w:numId w:val="6"/>
              </w:numPr>
              <w:jc w:val="both"/>
              <w:rPr>
                <w:rFonts w:ascii="Arial" w:hAnsi="Arial" w:cs="Arial"/>
                <w:noProof/>
                <w:color w:val="FFFFFF" w:themeColor="background1"/>
                <w:sz w:val="20"/>
                <w:szCs w:val="20"/>
                <w:lang w:eastAsia="en-GB"/>
              </w:rPr>
            </w:pPr>
            <w:r w:rsidRPr="00CE689A">
              <w:rPr>
                <w:rFonts w:ascii="Arial" w:hAnsi="Arial" w:cs="Arial"/>
                <w:noProof/>
                <w:color w:val="FFFFFF" w:themeColor="background1"/>
                <w:sz w:val="20"/>
                <w:szCs w:val="20"/>
                <w:lang w:eastAsia="en-GB"/>
              </w:rPr>
              <w:t>Does the resident understand the risks and benefits of taking a medicine</w:t>
            </w:r>
          </w:p>
        </w:tc>
        <w:tc>
          <w:tcPr>
            <w:tcW w:w="1360" w:type="dxa"/>
            <w:vMerge/>
            <w:shd w:val="clear" w:color="auto" w:fill="ED174F"/>
          </w:tcPr>
          <w:p w:rsidR="000A0CD8" w:rsidRPr="00CE689A" w:rsidRDefault="000A0CD8" w:rsidP="000A0CD8">
            <w:pPr>
              <w:jc w:val="center"/>
              <w:rPr>
                <w:rFonts w:ascii="Arial" w:hAnsi="Arial" w:cs="Arial"/>
                <w:noProof/>
                <w:color w:val="FFFFFF" w:themeColor="background1"/>
                <w:sz w:val="20"/>
                <w:szCs w:val="20"/>
                <w:lang w:eastAsia="en-GB"/>
              </w:rPr>
            </w:pPr>
          </w:p>
        </w:tc>
      </w:tr>
    </w:tbl>
    <w:p w:rsidR="00521A2D" w:rsidRPr="00CE689A" w:rsidRDefault="00521A2D" w:rsidP="00EB0CF4">
      <w:pPr>
        <w:spacing w:after="0"/>
        <w:jc w:val="both"/>
        <w:rPr>
          <w:rFonts w:ascii="Arial" w:hAnsi="Arial" w:cs="Arial"/>
          <w:noProof/>
          <w:sz w:val="20"/>
          <w:szCs w:val="20"/>
          <w:lang w:eastAsia="en-GB"/>
        </w:rPr>
      </w:pPr>
    </w:p>
    <w:p w:rsidR="00E062C8" w:rsidRPr="000456BC" w:rsidRDefault="000A0CD8" w:rsidP="000456BC">
      <w:pPr>
        <w:pBdr>
          <w:top w:val="single" w:sz="4" w:space="1" w:color="auto"/>
          <w:left w:val="single" w:sz="4" w:space="4" w:color="auto"/>
          <w:bottom w:val="single" w:sz="4" w:space="1" w:color="auto"/>
          <w:right w:val="single" w:sz="4" w:space="4" w:color="auto"/>
        </w:pBdr>
        <w:spacing w:after="0"/>
        <w:jc w:val="both"/>
        <w:rPr>
          <w:rFonts w:ascii="Arial" w:hAnsi="Arial" w:cs="Arial"/>
          <w:b/>
          <w:noProof/>
          <w:sz w:val="18"/>
          <w:szCs w:val="20"/>
          <w:lang w:eastAsia="en-GB"/>
        </w:rPr>
      </w:pPr>
      <w:r w:rsidRPr="000456BC">
        <w:rPr>
          <w:rFonts w:ascii="Arial" w:hAnsi="Arial" w:cs="Arial"/>
          <w:b/>
          <w:noProof/>
          <w:sz w:val="18"/>
          <w:szCs w:val="20"/>
          <w:lang w:eastAsia="en-GB"/>
        </w:rPr>
        <w:t>No</w:t>
      </w:r>
      <w:r w:rsidR="00F94189" w:rsidRPr="000456BC">
        <w:rPr>
          <w:rFonts w:ascii="Arial" w:hAnsi="Arial" w:cs="Arial"/>
          <w:b/>
          <w:noProof/>
          <w:sz w:val="18"/>
          <w:szCs w:val="20"/>
          <w:lang w:eastAsia="en-GB"/>
        </w:rPr>
        <w:t>w</w:t>
      </w:r>
      <w:r w:rsidR="000456BC" w:rsidRPr="000456BC">
        <w:rPr>
          <w:rFonts w:ascii="Arial" w:hAnsi="Arial" w:cs="Arial"/>
          <w:b/>
          <w:noProof/>
          <w:sz w:val="18"/>
          <w:szCs w:val="20"/>
          <w:lang w:eastAsia="en-GB"/>
        </w:rPr>
        <w:t xml:space="preserve"> consider missing medicines; a</w:t>
      </w:r>
      <w:r w:rsidRPr="000456BC">
        <w:rPr>
          <w:rFonts w:ascii="Arial" w:hAnsi="Arial" w:cs="Arial"/>
          <w:b/>
          <w:noProof/>
          <w:sz w:val="18"/>
          <w:szCs w:val="20"/>
          <w:lang w:eastAsia="en-GB"/>
        </w:rPr>
        <w:t>re there medicines tha</w:t>
      </w:r>
      <w:r w:rsidR="00E062C8" w:rsidRPr="000456BC">
        <w:rPr>
          <w:rFonts w:ascii="Arial" w:hAnsi="Arial" w:cs="Arial"/>
          <w:b/>
          <w:noProof/>
          <w:sz w:val="18"/>
          <w:szCs w:val="20"/>
          <w:lang w:eastAsia="en-GB"/>
        </w:rPr>
        <w:t>t the resident may benefit from that are not prescribed?</w:t>
      </w:r>
    </w:p>
    <w:p w:rsidR="000A0CD8" w:rsidRPr="00CE689A" w:rsidRDefault="000A0CD8" w:rsidP="00EB0CF4">
      <w:pPr>
        <w:spacing w:after="0"/>
        <w:jc w:val="both"/>
        <w:rPr>
          <w:rFonts w:ascii="Arial" w:hAnsi="Arial" w:cs="Arial"/>
          <w:noProof/>
          <w:sz w:val="20"/>
          <w:szCs w:val="20"/>
          <w:lang w:eastAsia="en-GB"/>
        </w:rPr>
      </w:pPr>
    </w:p>
    <w:p w:rsidR="000A0CD8" w:rsidRPr="00CE689A" w:rsidRDefault="00E062C8" w:rsidP="00EB0CF4">
      <w:pPr>
        <w:spacing w:after="0"/>
        <w:jc w:val="both"/>
        <w:rPr>
          <w:rFonts w:ascii="Arial" w:hAnsi="Arial" w:cs="Arial"/>
          <w:noProof/>
          <w:sz w:val="20"/>
          <w:szCs w:val="20"/>
          <w:vertAlign w:val="superscript"/>
          <w:lang w:eastAsia="en-GB"/>
        </w:rPr>
      </w:pPr>
      <w:r w:rsidRPr="00CE689A">
        <w:rPr>
          <w:rFonts w:ascii="Arial" w:hAnsi="Arial" w:cs="Arial"/>
          <w:noProof/>
          <w:sz w:val="20"/>
          <w:szCs w:val="20"/>
          <w:lang w:eastAsia="en-GB"/>
        </w:rPr>
        <w:t>Examples of interventions made by the Shine care home project team</w:t>
      </w:r>
      <w:r w:rsidRPr="00CE689A">
        <w:rPr>
          <w:rFonts w:ascii="Arial" w:hAnsi="Arial" w:cs="Arial"/>
          <w:noProof/>
          <w:sz w:val="20"/>
          <w:szCs w:val="20"/>
          <w:vertAlign w:val="superscript"/>
          <w:lang w:eastAsia="en-GB"/>
        </w:rPr>
        <w:t>1</w:t>
      </w:r>
    </w:p>
    <w:p w:rsidR="00E062C8" w:rsidRPr="00CE689A" w:rsidRDefault="00E062C8" w:rsidP="00E062C8">
      <w:pPr>
        <w:pStyle w:val="ListParagraph"/>
        <w:numPr>
          <w:ilvl w:val="0"/>
          <w:numId w:val="7"/>
        </w:numPr>
        <w:spacing w:after="0"/>
        <w:jc w:val="both"/>
        <w:rPr>
          <w:rFonts w:ascii="Arial" w:hAnsi="Arial" w:cs="Arial"/>
          <w:noProof/>
          <w:sz w:val="20"/>
          <w:szCs w:val="20"/>
          <w:lang w:eastAsia="en-GB"/>
        </w:rPr>
      </w:pPr>
      <w:r w:rsidRPr="00CE689A">
        <w:rPr>
          <w:rFonts w:ascii="Arial" w:hAnsi="Arial" w:cs="Arial"/>
          <w:noProof/>
          <w:sz w:val="20"/>
          <w:szCs w:val="20"/>
          <w:lang w:eastAsia="en-GB"/>
        </w:rPr>
        <w:t>Stopping and starting medicines</w:t>
      </w:r>
      <w:r w:rsidR="00091DD2" w:rsidRPr="00CE689A">
        <w:rPr>
          <w:rFonts w:ascii="Arial" w:hAnsi="Arial" w:cs="Arial"/>
          <w:noProof/>
          <w:sz w:val="20"/>
          <w:szCs w:val="20"/>
          <w:lang w:eastAsia="en-GB"/>
        </w:rPr>
        <w:t xml:space="preserve"> (common drugs stopped in Shine</w:t>
      </w:r>
      <w:r w:rsidR="00091DD2" w:rsidRPr="00CE689A">
        <w:rPr>
          <w:rFonts w:ascii="Arial" w:hAnsi="Arial" w:cs="Arial"/>
          <w:noProof/>
          <w:sz w:val="20"/>
          <w:szCs w:val="20"/>
          <w:vertAlign w:val="superscript"/>
          <w:lang w:eastAsia="en-GB"/>
        </w:rPr>
        <w:t>1</w:t>
      </w:r>
      <w:r w:rsidR="00091DD2" w:rsidRPr="00CE689A">
        <w:rPr>
          <w:rFonts w:ascii="Arial" w:hAnsi="Arial" w:cs="Arial"/>
          <w:noProof/>
          <w:sz w:val="20"/>
          <w:szCs w:val="20"/>
          <w:lang w:eastAsia="en-GB"/>
        </w:rPr>
        <w:t xml:space="preserve"> included statins, ferrous salts, antihypertensives, enteral feed)</w:t>
      </w:r>
    </w:p>
    <w:p w:rsidR="00E062C8" w:rsidRPr="00CE689A" w:rsidRDefault="00E062C8" w:rsidP="00E062C8">
      <w:pPr>
        <w:pStyle w:val="ListParagraph"/>
        <w:numPr>
          <w:ilvl w:val="0"/>
          <w:numId w:val="7"/>
        </w:numPr>
        <w:spacing w:after="0"/>
        <w:jc w:val="both"/>
        <w:rPr>
          <w:rFonts w:ascii="Arial" w:hAnsi="Arial" w:cs="Arial"/>
          <w:noProof/>
          <w:sz w:val="20"/>
          <w:szCs w:val="20"/>
          <w:lang w:eastAsia="en-GB"/>
        </w:rPr>
      </w:pPr>
      <w:r w:rsidRPr="00CE689A">
        <w:rPr>
          <w:rFonts w:ascii="Arial" w:hAnsi="Arial" w:cs="Arial"/>
          <w:noProof/>
          <w:sz w:val="20"/>
          <w:szCs w:val="20"/>
          <w:lang w:eastAsia="en-GB"/>
        </w:rPr>
        <w:t>Changing medicines (e.g. dose changes, formul</w:t>
      </w:r>
      <w:r w:rsidR="00075916">
        <w:rPr>
          <w:rFonts w:ascii="Arial" w:hAnsi="Arial" w:cs="Arial"/>
          <w:noProof/>
          <w:sz w:val="20"/>
          <w:szCs w:val="20"/>
          <w:lang w:eastAsia="en-GB"/>
        </w:rPr>
        <w:t>a</w:t>
      </w:r>
      <w:r w:rsidRPr="00CE689A">
        <w:rPr>
          <w:rFonts w:ascii="Arial" w:hAnsi="Arial" w:cs="Arial"/>
          <w:noProof/>
          <w:sz w:val="20"/>
          <w:szCs w:val="20"/>
          <w:lang w:eastAsia="en-GB"/>
        </w:rPr>
        <w:t>tion changes)</w:t>
      </w:r>
    </w:p>
    <w:p w:rsidR="00E062C8" w:rsidRPr="00CE689A" w:rsidRDefault="00E062C8" w:rsidP="00E062C8">
      <w:pPr>
        <w:pStyle w:val="ListParagraph"/>
        <w:numPr>
          <w:ilvl w:val="0"/>
          <w:numId w:val="7"/>
        </w:numPr>
        <w:spacing w:after="0"/>
        <w:jc w:val="both"/>
        <w:rPr>
          <w:rFonts w:ascii="Arial" w:hAnsi="Arial" w:cs="Arial"/>
          <w:noProof/>
          <w:sz w:val="20"/>
          <w:szCs w:val="20"/>
          <w:lang w:eastAsia="en-GB"/>
        </w:rPr>
      </w:pPr>
      <w:r w:rsidRPr="00CE689A">
        <w:rPr>
          <w:rFonts w:ascii="Arial" w:hAnsi="Arial" w:cs="Arial"/>
          <w:noProof/>
          <w:sz w:val="20"/>
          <w:szCs w:val="20"/>
          <w:lang w:eastAsia="en-GB"/>
        </w:rPr>
        <w:t>Switching regular medicines to ‘when required</w:t>
      </w:r>
      <w:r w:rsidR="00F94189" w:rsidRPr="00CE689A">
        <w:rPr>
          <w:rFonts w:ascii="Arial" w:hAnsi="Arial" w:cs="Arial"/>
          <w:noProof/>
          <w:sz w:val="20"/>
          <w:szCs w:val="20"/>
          <w:lang w:eastAsia="en-GB"/>
        </w:rPr>
        <w:t>’</w:t>
      </w:r>
      <w:r w:rsidRPr="00CE689A">
        <w:rPr>
          <w:rFonts w:ascii="Arial" w:hAnsi="Arial" w:cs="Arial"/>
          <w:noProof/>
          <w:sz w:val="20"/>
          <w:szCs w:val="20"/>
          <w:lang w:eastAsia="en-GB"/>
        </w:rPr>
        <w:t xml:space="preserve"> (e.g. laxatives and analgesics)</w:t>
      </w:r>
    </w:p>
    <w:p w:rsidR="00723A61" w:rsidRPr="00CE689A" w:rsidRDefault="00E062C8" w:rsidP="00723A61">
      <w:pPr>
        <w:pStyle w:val="ListParagraph"/>
        <w:numPr>
          <w:ilvl w:val="0"/>
          <w:numId w:val="7"/>
        </w:numPr>
        <w:spacing w:after="0"/>
        <w:jc w:val="both"/>
        <w:rPr>
          <w:rFonts w:ascii="Arial" w:hAnsi="Arial" w:cs="Arial"/>
          <w:noProof/>
          <w:sz w:val="20"/>
          <w:szCs w:val="20"/>
          <w:lang w:eastAsia="en-GB"/>
        </w:rPr>
      </w:pPr>
      <w:r w:rsidRPr="00CE689A">
        <w:rPr>
          <w:rFonts w:ascii="Arial" w:hAnsi="Arial" w:cs="Arial"/>
          <w:noProof/>
          <w:sz w:val="20"/>
          <w:szCs w:val="20"/>
          <w:lang w:eastAsia="en-GB"/>
        </w:rPr>
        <w:t>Monito</w:t>
      </w:r>
      <w:r w:rsidR="006C0953">
        <w:rPr>
          <w:rFonts w:ascii="Arial" w:hAnsi="Arial" w:cs="Arial"/>
          <w:noProof/>
          <w:sz w:val="20"/>
          <w:szCs w:val="20"/>
          <w:lang w:eastAsia="en-GB"/>
        </w:rPr>
        <w:t>r</w:t>
      </w:r>
      <w:r w:rsidRPr="00CE689A">
        <w:rPr>
          <w:rFonts w:ascii="Arial" w:hAnsi="Arial" w:cs="Arial"/>
          <w:noProof/>
          <w:sz w:val="20"/>
          <w:szCs w:val="20"/>
          <w:lang w:eastAsia="en-GB"/>
        </w:rPr>
        <w:t>ing (bloods, blood pressure, behaviour, pain)</w:t>
      </w:r>
    </w:p>
    <w:p w:rsidR="00723A61" w:rsidRPr="00CE689A" w:rsidRDefault="00723A61" w:rsidP="00723A61">
      <w:pPr>
        <w:spacing w:after="0" w:line="240" w:lineRule="auto"/>
        <w:rPr>
          <w:rFonts w:ascii="Arial" w:hAnsi="Arial" w:cs="Arial"/>
          <w:sz w:val="20"/>
          <w:szCs w:val="20"/>
        </w:rPr>
      </w:pPr>
    </w:p>
    <w:p w:rsidR="00723A61" w:rsidRPr="00CE689A" w:rsidRDefault="00723A61" w:rsidP="00723A61">
      <w:pPr>
        <w:spacing w:after="0" w:line="240" w:lineRule="auto"/>
        <w:rPr>
          <w:rFonts w:ascii="Arial" w:hAnsi="Arial" w:cs="Arial"/>
          <w:sz w:val="16"/>
          <w:szCs w:val="20"/>
        </w:rPr>
      </w:pPr>
      <w:r w:rsidRPr="00CE689A">
        <w:rPr>
          <w:rFonts w:ascii="Arial" w:hAnsi="Arial" w:cs="Arial"/>
          <w:sz w:val="16"/>
          <w:szCs w:val="20"/>
        </w:rPr>
        <w:t xml:space="preserve">1. Shine Project Team.  A clinico-ethical framework for the multidisciplinary review of medication in nursing homes. Available at: </w:t>
      </w:r>
      <w:hyperlink r:id="rId9" w:tgtFrame="_blank" w:history="1">
        <w:r w:rsidRPr="00CE689A">
          <w:rPr>
            <w:rStyle w:val="Hyperlink"/>
            <w:rFonts w:ascii="Arial" w:hAnsi="Arial" w:cs="Arial"/>
            <w:color w:val="800080"/>
            <w:sz w:val="16"/>
            <w:szCs w:val="20"/>
            <w:lang w:val="en-US"/>
          </w:rPr>
          <w:t>https://www.northumbria.nhs.uk/uploads/media_items/shine-2012-final-report-template-northumbria-final.original.docx</w:t>
        </w:r>
      </w:hyperlink>
      <w:r w:rsidRPr="00CE689A">
        <w:rPr>
          <w:rFonts w:ascii="Arial" w:hAnsi="Arial" w:cs="Arial"/>
          <w:color w:val="000000"/>
          <w:sz w:val="16"/>
          <w:szCs w:val="20"/>
          <w:lang w:val="en-US"/>
        </w:rPr>
        <w:t xml:space="preserve"> (last accessed 1/6/14).</w:t>
      </w:r>
    </w:p>
    <w:p w:rsidR="00E5736C" w:rsidRPr="00CE689A" w:rsidRDefault="00E5736C" w:rsidP="00E5736C">
      <w:pPr>
        <w:spacing w:after="0" w:line="240" w:lineRule="auto"/>
        <w:jc w:val="center"/>
        <w:rPr>
          <w:rFonts w:ascii="Arial" w:hAnsi="Arial" w:cs="Arial"/>
          <w:b/>
          <w:sz w:val="20"/>
          <w:szCs w:val="20"/>
        </w:rPr>
      </w:pPr>
      <w:r w:rsidRPr="00CE689A">
        <w:rPr>
          <w:rFonts w:ascii="Arial" w:hAnsi="Arial" w:cs="Arial"/>
          <w:b/>
          <w:sz w:val="20"/>
          <w:szCs w:val="20"/>
        </w:rPr>
        <w:lastRenderedPageBreak/>
        <w:t>Involving Residents</w:t>
      </w:r>
    </w:p>
    <w:p w:rsidR="00E5736C" w:rsidRPr="00CE689A" w:rsidRDefault="00E5736C" w:rsidP="00E5736C">
      <w:pPr>
        <w:spacing w:after="0" w:line="240" w:lineRule="auto"/>
        <w:jc w:val="both"/>
        <w:rPr>
          <w:rFonts w:ascii="Arial" w:hAnsi="Arial" w:cs="Arial"/>
          <w:sz w:val="20"/>
          <w:szCs w:val="20"/>
        </w:rPr>
      </w:pPr>
    </w:p>
    <w:p w:rsidR="00E5736C" w:rsidRPr="00CE689A" w:rsidRDefault="00E5736C" w:rsidP="00E5736C">
      <w:pPr>
        <w:spacing w:after="0" w:line="240" w:lineRule="auto"/>
        <w:jc w:val="both"/>
        <w:rPr>
          <w:rFonts w:ascii="Arial" w:hAnsi="Arial" w:cs="Arial"/>
          <w:sz w:val="20"/>
          <w:szCs w:val="20"/>
        </w:rPr>
      </w:pPr>
      <w:r w:rsidRPr="00CE689A">
        <w:rPr>
          <w:rFonts w:ascii="Arial" w:hAnsi="Arial" w:cs="Arial"/>
          <w:sz w:val="20"/>
          <w:szCs w:val="20"/>
        </w:rPr>
        <w:t>Assume Capacity!  In the Shine project, 16% of residents were able and willing partners in decisions about their medicines.  Patient involvement model:</w:t>
      </w:r>
    </w:p>
    <w:p w:rsidR="00E5736C" w:rsidRPr="00CE689A" w:rsidRDefault="00E5736C" w:rsidP="00E5736C">
      <w:pPr>
        <w:spacing w:after="0" w:line="240" w:lineRule="auto"/>
        <w:jc w:val="both"/>
        <w:rPr>
          <w:rFonts w:ascii="Arial" w:hAnsi="Arial" w:cs="Arial"/>
          <w:sz w:val="20"/>
          <w:szCs w:val="20"/>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ED174F"/>
        <w:tblLook w:val="04A0" w:firstRow="1" w:lastRow="0" w:firstColumn="1" w:lastColumn="0" w:noHBand="0" w:noVBand="1"/>
      </w:tblPr>
      <w:tblGrid>
        <w:gridCol w:w="5341"/>
        <w:gridCol w:w="5341"/>
      </w:tblGrid>
      <w:tr w:rsidR="00CE689A" w:rsidRPr="00CE689A" w:rsidTr="00CE689A">
        <w:tc>
          <w:tcPr>
            <w:tcW w:w="5341" w:type="dxa"/>
            <w:shd w:val="clear" w:color="auto" w:fill="ED174F"/>
          </w:tcPr>
          <w:p w:rsidR="00E5736C" w:rsidRPr="00CE689A" w:rsidRDefault="00E5736C" w:rsidP="00E5736C">
            <w:pPr>
              <w:jc w:val="both"/>
              <w:rPr>
                <w:rFonts w:ascii="Arial" w:hAnsi="Arial" w:cs="Arial"/>
                <w:b/>
                <w:color w:val="FFFFFF" w:themeColor="background1"/>
                <w:sz w:val="20"/>
                <w:szCs w:val="20"/>
              </w:rPr>
            </w:pPr>
            <w:r w:rsidRPr="00CE689A">
              <w:rPr>
                <w:rFonts w:ascii="Arial" w:hAnsi="Arial" w:cs="Arial"/>
                <w:b/>
                <w:color w:val="FFFFFF" w:themeColor="background1"/>
                <w:sz w:val="20"/>
                <w:szCs w:val="20"/>
              </w:rPr>
              <w:t xml:space="preserve">RESIDENTS </w:t>
            </w:r>
          </w:p>
          <w:p w:rsidR="00E5736C" w:rsidRPr="00CE689A" w:rsidRDefault="00E5736C" w:rsidP="00E5736C">
            <w:pPr>
              <w:pStyle w:val="ListParagraph"/>
              <w:numPr>
                <w:ilvl w:val="0"/>
                <w:numId w:val="9"/>
              </w:numPr>
              <w:jc w:val="both"/>
              <w:rPr>
                <w:rFonts w:ascii="Arial" w:hAnsi="Arial" w:cs="Arial"/>
                <w:color w:val="FFFFFF" w:themeColor="background1"/>
                <w:sz w:val="20"/>
                <w:szCs w:val="20"/>
              </w:rPr>
            </w:pPr>
            <w:r w:rsidRPr="00CE689A">
              <w:rPr>
                <w:rFonts w:ascii="Arial" w:hAnsi="Arial" w:cs="Arial"/>
                <w:color w:val="FFFFFF" w:themeColor="background1"/>
                <w:sz w:val="20"/>
                <w:szCs w:val="20"/>
              </w:rPr>
              <w:t>At the MDT</w:t>
            </w:r>
          </w:p>
          <w:p w:rsidR="00E5736C" w:rsidRPr="00CE689A" w:rsidRDefault="00E5736C" w:rsidP="00E5736C">
            <w:pPr>
              <w:pStyle w:val="ListParagraph"/>
              <w:numPr>
                <w:ilvl w:val="0"/>
                <w:numId w:val="9"/>
              </w:numPr>
              <w:jc w:val="both"/>
              <w:rPr>
                <w:rFonts w:ascii="Arial" w:hAnsi="Arial" w:cs="Arial"/>
                <w:color w:val="FFFFFF" w:themeColor="background1"/>
                <w:sz w:val="20"/>
                <w:szCs w:val="20"/>
              </w:rPr>
            </w:pPr>
            <w:r w:rsidRPr="00CE689A">
              <w:rPr>
                <w:rFonts w:ascii="Arial" w:hAnsi="Arial" w:cs="Arial"/>
                <w:color w:val="FFFFFF" w:themeColor="background1"/>
                <w:sz w:val="20"/>
                <w:szCs w:val="20"/>
              </w:rPr>
              <w:t>Following or prior to the MDT</w:t>
            </w:r>
          </w:p>
        </w:tc>
        <w:tc>
          <w:tcPr>
            <w:tcW w:w="5341" w:type="dxa"/>
            <w:shd w:val="clear" w:color="auto" w:fill="ED174F"/>
          </w:tcPr>
          <w:p w:rsidR="00E5736C" w:rsidRPr="00CE689A" w:rsidRDefault="00E5736C" w:rsidP="00E5736C">
            <w:pPr>
              <w:jc w:val="both"/>
              <w:rPr>
                <w:rFonts w:ascii="Arial" w:hAnsi="Arial" w:cs="Arial"/>
                <w:color w:val="FFFFFF" w:themeColor="background1"/>
                <w:sz w:val="20"/>
                <w:szCs w:val="20"/>
              </w:rPr>
            </w:pPr>
            <w:r w:rsidRPr="00CE689A">
              <w:rPr>
                <w:rFonts w:ascii="Arial" w:hAnsi="Arial" w:cs="Arial"/>
                <w:color w:val="FFFFFF" w:themeColor="background1"/>
                <w:sz w:val="20"/>
                <w:szCs w:val="20"/>
              </w:rPr>
              <w:t xml:space="preserve">Residents should be given the information and support </w:t>
            </w:r>
            <w:r w:rsidR="006C0953">
              <w:rPr>
                <w:rFonts w:ascii="Arial" w:hAnsi="Arial" w:cs="Arial"/>
                <w:color w:val="FFFFFF" w:themeColor="background1"/>
                <w:sz w:val="20"/>
                <w:szCs w:val="20"/>
              </w:rPr>
              <w:t xml:space="preserve">to </w:t>
            </w:r>
            <w:r w:rsidRPr="00CE689A">
              <w:rPr>
                <w:rFonts w:ascii="Arial" w:hAnsi="Arial" w:cs="Arial"/>
                <w:color w:val="FFFFFF" w:themeColor="background1"/>
                <w:sz w:val="20"/>
                <w:szCs w:val="20"/>
              </w:rPr>
              <w:t>help them make decisions about which medicines they take and which are stopped or changed.</w:t>
            </w:r>
          </w:p>
        </w:tc>
      </w:tr>
      <w:tr w:rsidR="00CE689A" w:rsidRPr="00CE689A" w:rsidTr="00CE689A">
        <w:tc>
          <w:tcPr>
            <w:tcW w:w="5341" w:type="dxa"/>
            <w:shd w:val="clear" w:color="auto" w:fill="ED174F"/>
          </w:tcPr>
          <w:p w:rsidR="00E5736C" w:rsidRPr="00CE689A" w:rsidRDefault="00E5736C" w:rsidP="00E5736C">
            <w:pPr>
              <w:jc w:val="both"/>
              <w:rPr>
                <w:rFonts w:ascii="Arial" w:hAnsi="Arial" w:cs="Arial"/>
                <w:b/>
                <w:color w:val="FFFFFF" w:themeColor="background1"/>
                <w:sz w:val="20"/>
                <w:szCs w:val="20"/>
              </w:rPr>
            </w:pPr>
            <w:r w:rsidRPr="00CE689A">
              <w:rPr>
                <w:rFonts w:ascii="Arial" w:hAnsi="Arial" w:cs="Arial"/>
                <w:b/>
                <w:color w:val="FFFFFF" w:themeColor="background1"/>
                <w:sz w:val="20"/>
                <w:szCs w:val="20"/>
              </w:rPr>
              <w:t>FAMILY</w:t>
            </w:r>
          </w:p>
          <w:p w:rsidR="00E5736C" w:rsidRPr="00CE689A" w:rsidRDefault="00E5736C" w:rsidP="00E5736C">
            <w:pPr>
              <w:pStyle w:val="ListParagraph"/>
              <w:numPr>
                <w:ilvl w:val="0"/>
                <w:numId w:val="10"/>
              </w:numPr>
              <w:jc w:val="both"/>
              <w:rPr>
                <w:rFonts w:ascii="Arial" w:hAnsi="Arial" w:cs="Arial"/>
                <w:color w:val="FFFFFF" w:themeColor="background1"/>
                <w:sz w:val="20"/>
                <w:szCs w:val="20"/>
              </w:rPr>
            </w:pPr>
            <w:r w:rsidRPr="00CE689A">
              <w:rPr>
                <w:rFonts w:ascii="Arial" w:hAnsi="Arial" w:cs="Arial"/>
                <w:color w:val="FFFFFF" w:themeColor="background1"/>
                <w:sz w:val="20"/>
                <w:szCs w:val="20"/>
              </w:rPr>
              <w:t>At MDT</w:t>
            </w:r>
          </w:p>
          <w:p w:rsidR="00E5736C" w:rsidRPr="00CE689A" w:rsidRDefault="00E5736C" w:rsidP="00E5736C">
            <w:pPr>
              <w:pStyle w:val="ListParagraph"/>
              <w:numPr>
                <w:ilvl w:val="0"/>
                <w:numId w:val="10"/>
              </w:numPr>
              <w:jc w:val="both"/>
              <w:rPr>
                <w:rFonts w:ascii="Arial" w:hAnsi="Arial" w:cs="Arial"/>
                <w:color w:val="FFFFFF" w:themeColor="background1"/>
                <w:sz w:val="20"/>
                <w:szCs w:val="20"/>
              </w:rPr>
            </w:pPr>
            <w:r w:rsidRPr="00CE689A">
              <w:rPr>
                <w:rFonts w:ascii="Arial" w:hAnsi="Arial" w:cs="Arial"/>
                <w:color w:val="FFFFFF" w:themeColor="background1"/>
                <w:sz w:val="20"/>
                <w:szCs w:val="20"/>
              </w:rPr>
              <w:t>Telephone</w:t>
            </w:r>
          </w:p>
          <w:p w:rsidR="00E5736C" w:rsidRPr="00CE689A" w:rsidRDefault="00E5736C" w:rsidP="00E5736C">
            <w:pPr>
              <w:pStyle w:val="ListParagraph"/>
              <w:numPr>
                <w:ilvl w:val="0"/>
                <w:numId w:val="10"/>
              </w:numPr>
              <w:jc w:val="both"/>
              <w:rPr>
                <w:rFonts w:ascii="Arial" w:hAnsi="Arial" w:cs="Arial"/>
                <w:color w:val="FFFFFF" w:themeColor="background1"/>
                <w:sz w:val="20"/>
                <w:szCs w:val="20"/>
              </w:rPr>
            </w:pPr>
            <w:r w:rsidRPr="00CE689A">
              <w:rPr>
                <w:rFonts w:ascii="Arial" w:hAnsi="Arial" w:cs="Arial"/>
                <w:color w:val="FFFFFF" w:themeColor="background1"/>
                <w:sz w:val="20"/>
                <w:szCs w:val="20"/>
              </w:rPr>
              <w:t>Letter</w:t>
            </w:r>
          </w:p>
        </w:tc>
        <w:tc>
          <w:tcPr>
            <w:tcW w:w="5341" w:type="dxa"/>
            <w:shd w:val="clear" w:color="auto" w:fill="ED174F"/>
          </w:tcPr>
          <w:p w:rsidR="00E5736C" w:rsidRPr="00CE689A" w:rsidRDefault="00E5736C" w:rsidP="00E5736C">
            <w:pPr>
              <w:jc w:val="both"/>
              <w:rPr>
                <w:rFonts w:ascii="Arial" w:hAnsi="Arial" w:cs="Arial"/>
                <w:color w:val="FFFFFF" w:themeColor="background1"/>
                <w:sz w:val="20"/>
                <w:szCs w:val="20"/>
              </w:rPr>
            </w:pPr>
            <w:r w:rsidRPr="00CE689A">
              <w:rPr>
                <w:rFonts w:ascii="Arial" w:hAnsi="Arial" w:cs="Arial"/>
                <w:color w:val="FFFFFF" w:themeColor="background1"/>
                <w:sz w:val="20"/>
                <w:szCs w:val="20"/>
              </w:rPr>
              <w:t xml:space="preserve">Families or significant friends should be invited to the MDT and involved in decisions.  Where this is not possible, the family member should be contacted by telephone </w:t>
            </w:r>
            <w:r w:rsidR="006C0953">
              <w:rPr>
                <w:rFonts w:ascii="Arial" w:hAnsi="Arial" w:cs="Arial"/>
                <w:color w:val="FFFFFF" w:themeColor="background1"/>
                <w:sz w:val="20"/>
                <w:szCs w:val="20"/>
              </w:rPr>
              <w:t xml:space="preserve">or alternative means </w:t>
            </w:r>
            <w:r w:rsidRPr="00CE689A">
              <w:rPr>
                <w:rFonts w:ascii="Arial" w:hAnsi="Arial" w:cs="Arial"/>
                <w:color w:val="FFFFFF" w:themeColor="background1"/>
                <w:sz w:val="20"/>
                <w:szCs w:val="20"/>
              </w:rPr>
              <w:t>(</w:t>
            </w:r>
            <w:r w:rsidR="002949AA" w:rsidRPr="00CE689A">
              <w:rPr>
                <w:rFonts w:ascii="Arial" w:hAnsi="Arial" w:cs="Arial"/>
                <w:color w:val="FFFFFF" w:themeColor="background1"/>
                <w:sz w:val="20"/>
                <w:szCs w:val="20"/>
              </w:rPr>
              <w:t>e.g. Skype, Facetime</w:t>
            </w:r>
            <w:r w:rsidRPr="00CE689A">
              <w:rPr>
                <w:rFonts w:ascii="Arial" w:hAnsi="Arial" w:cs="Arial"/>
                <w:color w:val="FFFFFF" w:themeColor="background1"/>
                <w:sz w:val="20"/>
                <w:szCs w:val="20"/>
              </w:rPr>
              <w:t>).</w:t>
            </w:r>
          </w:p>
          <w:p w:rsidR="00E5736C" w:rsidRPr="00CE689A" w:rsidRDefault="00E5736C" w:rsidP="00E5736C">
            <w:pPr>
              <w:jc w:val="both"/>
              <w:rPr>
                <w:rFonts w:ascii="Arial" w:hAnsi="Arial" w:cs="Arial"/>
                <w:color w:val="FFFFFF" w:themeColor="background1"/>
                <w:sz w:val="20"/>
                <w:szCs w:val="20"/>
              </w:rPr>
            </w:pPr>
          </w:p>
          <w:p w:rsidR="00E5736C" w:rsidRPr="00CE689A" w:rsidRDefault="00E5736C" w:rsidP="006C0953">
            <w:pPr>
              <w:jc w:val="both"/>
              <w:rPr>
                <w:rFonts w:ascii="Arial" w:hAnsi="Arial" w:cs="Arial"/>
                <w:color w:val="FFFFFF" w:themeColor="background1"/>
                <w:sz w:val="20"/>
                <w:szCs w:val="20"/>
              </w:rPr>
            </w:pPr>
            <w:r w:rsidRPr="00CE689A">
              <w:rPr>
                <w:rFonts w:ascii="Arial" w:hAnsi="Arial" w:cs="Arial"/>
                <w:color w:val="FFFFFF" w:themeColor="background1"/>
                <w:sz w:val="20"/>
                <w:szCs w:val="20"/>
              </w:rPr>
              <w:t xml:space="preserve">Where family members are </w:t>
            </w:r>
            <w:r w:rsidR="006C0953">
              <w:rPr>
                <w:rFonts w:ascii="Arial" w:hAnsi="Arial" w:cs="Arial"/>
                <w:color w:val="FFFFFF" w:themeColor="background1"/>
                <w:sz w:val="20"/>
                <w:szCs w:val="20"/>
              </w:rPr>
              <w:t xml:space="preserve">unable </w:t>
            </w:r>
            <w:r w:rsidRPr="00CE689A">
              <w:rPr>
                <w:rFonts w:ascii="Arial" w:hAnsi="Arial" w:cs="Arial"/>
                <w:color w:val="FFFFFF" w:themeColor="background1"/>
                <w:sz w:val="20"/>
                <w:szCs w:val="20"/>
              </w:rPr>
              <w:t>or don’t wish to be involved, they should be sent a letter outlining the proposed interventions.</w:t>
            </w:r>
          </w:p>
        </w:tc>
      </w:tr>
      <w:tr w:rsidR="00CE689A" w:rsidRPr="00CE689A" w:rsidTr="00CE689A">
        <w:tc>
          <w:tcPr>
            <w:tcW w:w="5341" w:type="dxa"/>
            <w:shd w:val="clear" w:color="auto" w:fill="ED174F"/>
          </w:tcPr>
          <w:p w:rsidR="00E5736C" w:rsidRPr="00CE689A" w:rsidRDefault="002949AA" w:rsidP="00E5736C">
            <w:pPr>
              <w:jc w:val="both"/>
              <w:rPr>
                <w:rFonts w:ascii="Arial" w:hAnsi="Arial" w:cs="Arial"/>
                <w:b/>
                <w:color w:val="FFFFFF" w:themeColor="background1"/>
                <w:sz w:val="20"/>
                <w:szCs w:val="20"/>
              </w:rPr>
            </w:pPr>
            <w:r w:rsidRPr="00CE689A">
              <w:rPr>
                <w:rFonts w:ascii="Arial" w:hAnsi="Arial" w:cs="Arial"/>
                <w:b/>
                <w:color w:val="FFFFFF" w:themeColor="background1"/>
                <w:sz w:val="20"/>
                <w:szCs w:val="20"/>
              </w:rPr>
              <w:t>ADVOCATES</w:t>
            </w:r>
          </w:p>
        </w:tc>
        <w:tc>
          <w:tcPr>
            <w:tcW w:w="5341" w:type="dxa"/>
            <w:shd w:val="clear" w:color="auto" w:fill="ED174F"/>
          </w:tcPr>
          <w:p w:rsidR="00E5736C" w:rsidRPr="00CE689A" w:rsidRDefault="002949AA" w:rsidP="006C0953">
            <w:pPr>
              <w:jc w:val="both"/>
              <w:rPr>
                <w:rFonts w:ascii="Arial" w:hAnsi="Arial" w:cs="Arial"/>
                <w:color w:val="FFFFFF" w:themeColor="background1"/>
                <w:sz w:val="20"/>
                <w:szCs w:val="20"/>
              </w:rPr>
            </w:pPr>
            <w:r w:rsidRPr="00CE689A">
              <w:rPr>
                <w:rFonts w:ascii="Arial" w:hAnsi="Arial" w:cs="Arial"/>
                <w:color w:val="FFFFFF" w:themeColor="background1"/>
                <w:sz w:val="20"/>
                <w:szCs w:val="20"/>
              </w:rPr>
              <w:t xml:space="preserve">Advocates for the </w:t>
            </w:r>
            <w:r w:rsidR="006C0953">
              <w:rPr>
                <w:rFonts w:ascii="Arial" w:hAnsi="Arial" w:cs="Arial"/>
                <w:color w:val="FFFFFF" w:themeColor="background1"/>
                <w:sz w:val="20"/>
                <w:szCs w:val="20"/>
              </w:rPr>
              <w:t>resident</w:t>
            </w:r>
            <w:r w:rsidR="006C0953" w:rsidRPr="00CE689A">
              <w:rPr>
                <w:rFonts w:ascii="Arial" w:hAnsi="Arial" w:cs="Arial"/>
                <w:color w:val="FFFFFF" w:themeColor="background1"/>
                <w:sz w:val="20"/>
                <w:szCs w:val="20"/>
              </w:rPr>
              <w:t xml:space="preserve"> </w:t>
            </w:r>
            <w:r w:rsidR="00723A61" w:rsidRPr="00CE689A">
              <w:rPr>
                <w:rFonts w:ascii="Arial" w:hAnsi="Arial" w:cs="Arial"/>
                <w:color w:val="FFFFFF" w:themeColor="background1"/>
                <w:sz w:val="20"/>
                <w:szCs w:val="20"/>
              </w:rPr>
              <w:t>may include care home staff and managers or formal advocacy from external agencies</w:t>
            </w:r>
          </w:p>
        </w:tc>
      </w:tr>
    </w:tbl>
    <w:p w:rsidR="00E5736C" w:rsidRPr="00CE689A" w:rsidRDefault="00E5736C" w:rsidP="00E5736C">
      <w:pPr>
        <w:spacing w:after="0" w:line="240" w:lineRule="auto"/>
        <w:jc w:val="both"/>
        <w:rPr>
          <w:rFonts w:ascii="Arial" w:hAnsi="Arial" w:cs="Arial"/>
          <w:sz w:val="20"/>
          <w:szCs w:val="20"/>
        </w:rPr>
      </w:pPr>
    </w:p>
    <w:p w:rsidR="00723A61" w:rsidRPr="00CE689A" w:rsidRDefault="00723A61" w:rsidP="00E5736C">
      <w:pPr>
        <w:spacing w:after="0" w:line="240" w:lineRule="auto"/>
        <w:jc w:val="both"/>
        <w:rPr>
          <w:rFonts w:ascii="Arial" w:hAnsi="Arial" w:cs="Arial"/>
          <w:sz w:val="20"/>
          <w:szCs w:val="20"/>
        </w:rPr>
      </w:pPr>
    </w:p>
    <w:p w:rsidR="00091DD2" w:rsidRPr="00CE689A" w:rsidRDefault="00091DD2" w:rsidP="00E50790">
      <w:pPr>
        <w:spacing w:after="0" w:line="240" w:lineRule="auto"/>
        <w:rPr>
          <w:rFonts w:ascii="Arial" w:hAnsi="Arial" w:cs="Arial"/>
          <w:b/>
          <w:sz w:val="20"/>
          <w:szCs w:val="20"/>
        </w:rPr>
      </w:pPr>
      <w:r w:rsidRPr="00CE689A">
        <w:rPr>
          <w:rFonts w:ascii="Arial" w:hAnsi="Arial" w:cs="Arial"/>
          <w:b/>
          <w:sz w:val="20"/>
          <w:szCs w:val="20"/>
        </w:rPr>
        <w:t>Assessing Capacity</w:t>
      </w:r>
    </w:p>
    <w:p w:rsidR="00091DD2" w:rsidRPr="00CE689A" w:rsidRDefault="00091DD2" w:rsidP="00E50790">
      <w:pPr>
        <w:spacing w:after="0" w:line="240" w:lineRule="auto"/>
        <w:rPr>
          <w:rFonts w:ascii="Arial" w:hAnsi="Arial" w:cs="Arial"/>
          <w:sz w:val="20"/>
          <w:szCs w:val="20"/>
        </w:rPr>
      </w:pPr>
    </w:p>
    <w:p w:rsidR="00E43E09" w:rsidRPr="00CE689A" w:rsidRDefault="00E43E09" w:rsidP="00E50790">
      <w:pPr>
        <w:rPr>
          <w:rFonts w:ascii="Arial" w:hAnsi="Arial" w:cs="Arial"/>
          <w:sz w:val="20"/>
          <w:szCs w:val="20"/>
        </w:rPr>
      </w:pPr>
      <w:r w:rsidRPr="00CE689A">
        <w:rPr>
          <w:rFonts w:ascii="Arial" w:hAnsi="Arial" w:cs="Arial"/>
          <w:sz w:val="20"/>
          <w:szCs w:val="20"/>
        </w:rPr>
        <w:t>1. Assume the person has decision-making capacity (MCA section 1(2)); but if there are doubts, it must be tested (MCA Code of Practice paragraph 4.34).</w:t>
      </w:r>
    </w:p>
    <w:p w:rsidR="00E43E09" w:rsidRPr="00CE689A" w:rsidRDefault="00E43E09" w:rsidP="00E50790">
      <w:pPr>
        <w:rPr>
          <w:rFonts w:ascii="Arial" w:hAnsi="Arial" w:cs="Arial"/>
          <w:sz w:val="20"/>
          <w:szCs w:val="20"/>
          <w:lang w:val="en-US"/>
        </w:rPr>
      </w:pPr>
      <w:r w:rsidRPr="00CE689A">
        <w:rPr>
          <w:rFonts w:ascii="Arial" w:hAnsi="Arial" w:cs="Arial"/>
          <w:sz w:val="20"/>
          <w:szCs w:val="20"/>
        </w:rPr>
        <w:t>2. A person can only lack capacity if he or she has</w:t>
      </w:r>
      <w:r w:rsidRPr="00CE689A">
        <w:rPr>
          <w:rFonts w:ascii="Arial" w:hAnsi="Arial" w:cs="Arial"/>
          <w:sz w:val="20"/>
          <w:szCs w:val="20"/>
          <w:lang w:val="en-US"/>
        </w:rPr>
        <w:t xml:space="preserve"> “an impairment of, or a disturbance in the functioning of, the mind or brain” (MCA section 2(1)).</w:t>
      </w:r>
    </w:p>
    <w:p w:rsidR="00E43E09" w:rsidRPr="00CE689A" w:rsidRDefault="00E43E09" w:rsidP="00E50790">
      <w:pPr>
        <w:spacing w:after="0"/>
        <w:rPr>
          <w:rFonts w:ascii="Arial" w:hAnsi="Arial" w:cs="Arial"/>
          <w:sz w:val="20"/>
          <w:szCs w:val="20"/>
          <w:lang w:val="en-US"/>
        </w:rPr>
      </w:pPr>
      <w:r w:rsidRPr="00CE689A">
        <w:rPr>
          <w:rFonts w:ascii="Arial" w:hAnsi="Arial" w:cs="Arial"/>
          <w:sz w:val="20"/>
          <w:szCs w:val="20"/>
          <w:lang w:val="en-US"/>
        </w:rPr>
        <w:t>3. In which case, can the person:</w:t>
      </w:r>
    </w:p>
    <w:p w:rsidR="00E43E09" w:rsidRPr="00CE689A" w:rsidRDefault="00E43E09" w:rsidP="00E50790">
      <w:pPr>
        <w:pStyle w:val="ListParagraph"/>
        <w:numPr>
          <w:ilvl w:val="0"/>
          <w:numId w:val="11"/>
        </w:numPr>
        <w:spacing w:line="240" w:lineRule="auto"/>
        <w:rPr>
          <w:rFonts w:ascii="Arial" w:hAnsi="Arial" w:cs="Arial"/>
          <w:sz w:val="20"/>
          <w:szCs w:val="20"/>
          <w:lang w:val="en-US"/>
        </w:rPr>
      </w:pPr>
      <w:r w:rsidRPr="00CE689A">
        <w:rPr>
          <w:rFonts w:ascii="Arial" w:hAnsi="Arial" w:cs="Arial"/>
          <w:sz w:val="20"/>
          <w:szCs w:val="20"/>
          <w:lang w:val="en-US"/>
        </w:rPr>
        <w:t>understand</w:t>
      </w:r>
    </w:p>
    <w:p w:rsidR="00E43E09" w:rsidRPr="00CE689A" w:rsidRDefault="00E43E09" w:rsidP="00E50790">
      <w:pPr>
        <w:pStyle w:val="ListParagraph"/>
        <w:numPr>
          <w:ilvl w:val="0"/>
          <w:numId w:val="11"/>
        </w:numPr>
        <w:spacing w:line="240" w:lineRule="auto"/>
        <w:rPr>
          <w:rFonts w:ascii="Arial" w:hAnsi="Arial" w:cs="Arial"/>
          <w:sz w:val="20"/>
          <w:szCs w:val="20"/>
          <w:lang w:val="en-US"/>
        </w:rPr>
      </w:pPr>
      <w:r w:rsidRPr="00CE689A">
        <w:rPr>
          <w:rFonts w:ascii="Arial" w:hAnsi="Arial" w:cs="Arial"/>
          <w:sz w:val="20"/>
          <w:szCs w:val="20"/>
          <w:lang w:val="en-US"/>
        </w:rPr>
        <w:t>retain</w:t>
      </w:r>
    </w:p>
    <w:p w:rsidR="00E43E09" w:rsidRPr="00CE689A" w:rsidRDefault="00E43E09" w:rsidP="00E50790">
      <w:pPr>
        <w:pStyle w:val="ListParagraph"/>
        <w:numPr>
          <w:ilvl w:val="0"/>
          <w:numId w:val="11"/>
        </w:numPr>
        <w:spacing w:line="240" w:lineRule="auto"/>
        <w:rPr>
          <w:rFonts w:ascii="Arial" w:hAnsi="Arial" w:cs="Arial"/>
          <w:sz w:val="20"/>
          <w:szCs w:val="20"/>
          <w:lang w:val="en-US"/>
        </w:rPr>
      </w:pPr>
      <w:r w:rsidRPr="00CE689A">
        <w:rPr>
          <w:rFonts w:ascii="Arial" w:hAnsi="Arial" w:cs="Arial"/>
          <w:sz w:val="20"/>
          <w:szCs w:val="20"/>
          <w:lang w:val="en-US"/>
        </w:rPr>
        <w:t>use or weigh the information relevant to the decision</w:t>
      </w:r>
    </w:p>
    <w:p w:rsidR="00E43E09" w:rsidRPr="00CE689A" w:rsidRDefault="00E43E09" w:rsidP="00E50790">
      <w:pPr>
        <w:pStyle w:val="ListParagraph"/>
        <w:numPr>
          <w:ilvl w:val="0"/>
          <w:numId w:val="11"/>
        </w:numPr>
        <w:spacing w:line="240" w:lineRule="auto"/>
        <w:rPr>
          <w:rFonts w:ascii="Arial" w:hAnsi="Arial" w:cs="Arial"/>
          <w:sz w:val="20"/>
          <w:szCs w:val="20"/>
          <w:lang w:val="en-US"/>
        </w:rPr>
      </w:pPr>
      <w:r w:rsidRPr="00CE689A">
        <w:rPr>
          <w:rFonts w:ascii="Arial" w:hAnsi="Arial" w:cs="Arial"/>
          <w:sz w:val="20"/>
          <w:szCs w:val="20"/>
          <w:lang w:val="en-US"/>
        </w:rPr>
        <w:t>and communicate the decision? (MCA section 3(1))?</w:t>
      </w:r>
    </w:p>
    <w:p w:rsidR="00E43E09" w:rsidRPr="00CE689A" w:rsidRDefault="00E43E09" w:rsidP="00E50790">
      <w:pPr>
        <w:spacing w:after="0"/>
        <w:rPr>
          <w:rFonts w:ascii="Arial" w:hAnsi="Arial" w:cs="Arial"/>
          <w:sz w:val="20"/>
          <w:szCs w:val="20"/>
          <w:lang w:val="en-US"/>
        </w:rPr>
      </w:pPr>
      <w:r w:rsidRPr="00CE689A">
        <w:rPr>
          <w:rFonts w:ascii="Arial" w:hAnsi="Arial" w:cs="Arial"/>
          <w:sz w:val="20"/>
          <w:szCs w:val="20"/>
          <w:lang w:val="en-US"/>
        </w:rPr>
        <w:t>4. If the person lacks capacity, a decision must be made in the person’s best interests (MCA section 4). This will involve:</w:t>
      </w:r>
    </w:p>
    <w:p w:rsidR="00E43E09" w:rsidRPr="00CE689A" w:rsidRDefault="00E43E09" w:rsidP="00E50790">
      <w:pPr>
        <w:pStyle w:val="ListParagraph"/>
        <w:numPr>
          <w:ilvl w:val="0"/>
          <w:numId w:val="12"/>
        </w:numPr>
        <w:spacing w:line="240" w:lineRule="auto"/>
        <w:rPr>
          <w:rFonts w:ascii="Arial" w:hAnsi="Arial" w:cs="Arial"/>
          <w:sz w:val="20"/>
          <w:szCs w:val="20"/>
          <w:lang w:val="en-US"/>
        </w:rPr>
      </w:pPr>
      <w:r w:rsidRPr="00CE689A">
        <w:rPr>
          <w:rFonts w:ascii="Arial" w:hAnsi="Arial" w:cs="Arial"/>
          <w:sz w:val="20"/>
          <w:szCs w:val="20"/>
          <w:lang w:val="en-US"/>
        </w:rPr>
        <w:t>asking whether the person might regain capacity to make the decision;</w:t>
      </w:r>
    </w:p>
    <w:p w:rsidR="00E43E09" w:rsidRPr="00CE689A" w:rsidRDefault="00E43E09" w:rsidP="00E50790">
      <w:pPr>
        <w:pStyle w:val="ListParagraph"/>
        <w:numPr>
          <w:ilvl w:val="0"/>
          <w:numId w:val="12"/>
        </w:numPr>
        <w:spacing w:line="240" w:lineRule="auto"/>
        <w:rPr>
          <w:rFonts w:ascii="Arial" w:hAnsi="Arial" w:cs="Arial"/>
          <w:sz w:val="20"/>
          <w:szCs w:val="20"/>
          <w:lang w:val="en-US"/>
        </w:rPr>
      </w:pPr>
      <w:r w:rsidRPr="00CE689A">
        <w:rPr>
          <w:rFonts w:ascii="Arial" w:hAnsi="Arial" w:cs="Arial"/>
          <w:sz w:val="20"/>
          <w:szCs w:val="20"/>
          <w:lang w:val="en-US"/>
        </w:rPr>
        <w:t>allowing and encouraging the person to participate as fully as possible in the decision;</w:t>
      </w:r>
    </w:p>
    <w:p w:rsidR="00E43E09" w:rsidRPr="00CE689A" w:rsidRDefault="00E43E09" w:rsidP="00E50790">
      <w:pPr>
        <w:pStyle w:val="ListParagraph"/>
        <w:numPr>
          <w:ilvl w:val="0"/>
          <w:numId w:val="12"/>
        </w:numPr>
        <w:spacing w:line="240" w:lineRule="auto"/>
        <w:rPr>
          <w:rFonts w:ascii="Arial" w:hAnsi="Arial" w:cs="Arial"/>
          <w:sz w:val="20"/>
          <w:szCs w:val="20"/>
          <w:lang w:val="en-US"/>
        </w:rPr>
      </w:pPr>
      <w:r w:rsidRPr="00CE689A">
        <w:rPr>
          <w:rFonts w:ascii="Arial" w:hAnsi="Arial" w:cs="Arial"/>
          <w:sz w:val="20"/>
          <w:szCs w:val="20"/>
          <w:lang w:val="en-US"/>
        </w:rPr>
        <w:t>not being motivated by a desire to bring about the person’s death</w:t>
      </w:r>
    </w:p>
    <w:p w:rsidR="00E43E09" w:rsidRPr="00CE689A" w:rsidRDefault="00E43E09" w:rsidP="00E50790">
      <w:pPr>
        <w:pStyle w:val="ListParagraph"/>
        <w:numPr>
          <w:ilvl w:val="0"/>
          <w:numId w:val="12"/>
        </w:numPr>
        <w:spacing w:line="240" w:lineRule="auto"/>
        <w:rPr>
          <w:rFonts w:ascii="Arial" w:hAnsi="Arial" w:cs="Arial"/>
          <w:sz w:val="20"/>
          <w:szCs w:val="20"/>
          <w:lang w:val="en-US"/>
        </w:rPr>
      </w:pPr>
      <w:r w:rsidRPr="00CE689A">
        <w:rPr>
          <w:rFonts w:ascii="Arial" w:hAnsi="Arial" w:cs="Arial"/>
          <w:sz w:val="20"/>
          <w:szCs w:val="20"/>
          <w:lang w:val="en-US"/>
        </w:rPr>
        <w:t>taking into consideration the person’s (a) past and present wishes and feelings, (b) beliefs and values, and (c) other factors that he or she would be likely to consider if able;</w:t>
      </w:r>
    </w:p>
    <w:p w:rsidR="00E43E09" w:rsidRPr="00CE689A" w:rsidRDefault="00E43E09" w:rsidP="00E50790">
      <w:pPr>
        <w:pStyle w:val="ListParagraph"/>
        <w:numPr>
          <w:ilvl w:val="0"/>
          <w:numId w:val="12"/>
        </w:numPr>
        <w:spacing w:line="240" w:lineRule="auto"/>
        <w:rPr>
          <w:rFonts w:ascii="Arial" w:hAnsi="Arial" w:cs="Arial"/>
          <w:sz w:val="20"/>
          <w:szCs w:val="20"/>
          <w:lang w:val="en-US"/>
        </w:rPr>
      </w:pPr>
      <w:r w:rsidRPr="00CE689A">
        <w:rPr>
          <w:rFonts w:ascii="Arial" w:hAnsi="Arial" w:cs="Arial"/>
          <w:sz w:val="20"/>
          <w:szCs w:val="20"/>
          <w:lang w:val="en-US"/>
        </w:rPr>
        <w:t>consulting with, if practicable and appropriate, (a) anyone named by the person, (b) anyone engaged in caring for the person or interested in his or her welfare, (c) any donee of a lasting power of attorney, and (d) any deputy appointed by the court.</w:t>
      </w:r>
    </w:p>
    <w:p w:rsidR="00E43E09" w:rsidRPr="00CE689A" w:rsidRDefault="00E43E09" w:rsidP="00E50790">
      <w:pPr>
        <w:spacing w:after="0"/>
        <w:rPr>
          <w:rFonts w:ascii="Arial" w:hAnsi="Arial" w:cs="Arial"/>
          <w:sz w:val="16"/>
          <w:szCs w:val="20"/>
          <w:lang w:val="en-US"/>
        </w:rPr>
      </w:pPr>
      <w:r w:rsidRPr="00CE689A">
        <w:rPr>
          <w:rFonts w:ascii="Arial" w:hAnsi="Arial" w:cs="Arial"/>
          <w:sz w:val="16"/>
          <w:szCs w:val="20"/>
          <w:lang w:val="en-US"/>
        </w:rPr>
        <w:t xml:space="preserve">The </w:t>
      </w:r>
      <w:r w:rsidRPr="00CE689A">
        <w:rPr>
          <w:rFonts w:ascii="Arial" w:hAnsi="Arial" w:cs="Arial"/>
          <w:i/>
          <w:sz w:val="16"/>
          <w:szCs w:val="20"/>
          <w:lang w:val="en-US"/>
        </w:rPr>
        <w:t>Mental Capacity Act 2005</w:t>
      </w:r>
      <w:r w:rsidRPr="00CE689A">
        <w:rPr>
          <w:rFonts w:ascii="Arial" w:hAnsi="Arial" w:cs="Arial"/>
          <w:sz w:val="16"/>
          <w:szCs w:val="20"/>
          <w:lang w:val="en-US"/>
        </w:rPr>
        <w:t xml:space="preserve"> is available at: </w:t>
      </w:r>
      <w:hyperlink r:id="rId10" w:history="1">
        <w:r w:rsidRPr="00CE689A">
          <w:rPr>
            <w:rStyle w:val="Hyperlink"/>
            <w:rFonts w:ascii="Arial" w:hAnsi="Arial" w:cs="Arial"/>
            <w:sz w:val="16"/>
            <w:szCs w:val="20"/>
            <w:lang w:val="en-US"/>
          </w:rPr>
          <w:t>http://www.legislation.gov.uk/ukpga/2005/9/pdfs/ukpga_20050009_en.pdf</w:t>
        </w:r>
      </w:hyperlink>
    </w:p>
    <w:p w:rsidR="00E43E09" w:rsidRPr="00CE689A" w:rsidRDefault="00E43E09" w:rsidP="00E50790">
      <w:pPr>
        <w:spacing w:after="0"/>
        <w:rPr>
          <w:rFonts w:ascii="Arial" w:hAnsi="Arial" w:cs="Arial"/>
          <w:sz w:val="16"/>
          <w:szCs w:val="20"/>
          <w:lang w:val="en-US"/>
        </w:rPr>
      </w:pPr>
      <w:r w:rsidRPr="00CE689A">
        <w:rPr>
          <w:rFonts w:ascii="Arial" w:hAnsi="Arial" w:cs="Arial"/>
          <w:sz w:val="16"/>
          <w:szCs w:val="20"/>
          <w:lang w:val="en-US"/>
        </w:rPr>
        <w:t xml:space="preserve">The </w:t>
      </w:r>
      <w:r w:rsidRPr="00CE689A">
        <w:rPr>
          <w:rFonts w:ascii="Arial" w:hAnsi="Arial" w:cs="Arial"/>
          <w:i/>
          <w:sz w:val="16"/>
          <w:szCs w:val="20"/>
          <w:lang w:val="en-US"/>
        </w:rPr>
        <w:t>Mental Capacity Act 2005 Code of Practice</w:t>
      </w:r>
      <w:r w:rsidRPr="00CE689A">
        <w:rPr>
          <w:rFonts w:ascii="Arial" w:hAnsi="Arial" w:cs="Arial"/>
          <w:sz w:val="16"/>
          <w:szCs w:val="20"/>
          <w:lang w:val="en-US"/>
        </w:rPr>
        <w:t xml:space="preserve"> is available at:</w:t>
      </w:r>
    </w:p>
    <w:p w:rsidR="00E43E09" w:rsidRPr="00CE689A" w:rsidRDefault="001C7F0A" w:rsidP="00E50790">
      <w:pPr>
        <w:spacing w:after="0"/>
        <w:rPr>
          <w:rFonts w:ascii="Arial" w:hAnsi="Arial" w:cs="Arial"/>
          <w:sz w:val="20"/>
          <w:szCs w:val="20"/>
          <w:lang w:val="en-US"/>
        </w:rPr>
      </w:pPr>
      <w:hyperlink r:id="rId11" w:history="1">
        <w:r w:rsidR="00E43E09" w:rsidRPr="00CE689A">
          <w:rPr>
            <w:rStyle w:val="Hyperlink"/>
            <w:rFonts w:ascii="Arial" w:hAnsi="Arial" w:cs="Arial"/>
            <w:sz w:val="16"/>
            <w:szCs w:val="20"/>
            <w:lang w:val="en-US"/>
          </w:rPr>
          <w:t>http://webarchive.nationalarchives.gov.uk/+/http://www.dca.gov.uk/legal-policy/mental-capacity/mca-cp.pdf</w:t>
        </w:r>
      </w:hyperlink>
    </w:p>
    <w:p w:rsidR="00091DD2" w:rsidRPr="00CE689A" w:rsidRDefault="00091DD2" w:rsidP="00E43E09">
      <w:pPr>
        <w:spacing w:after="0" w:line="240" w:lineRule="auto"/>
        <w:rPr>
          <w:rFonts w:ascii="Arial" w:hAnsi="Arial" w:cs="Arial"/>
          <w:sz w:val="20"/>
          <w:szCs w:val="20"/>
        </w:rPr>
      </w:pPr>
    </w:p>
    <w:p w:rsidR="00723A61" w:rsidRPr="00CE689A" w:rsidRDefault="00723A61" w:rsidP="00723A61">
      <w:pPr>
        <w:spacing w:after="0" w:line="240" w:lineRule="auto"/>
        <w:rPr>
          <w:rFonts w:ascii="Arial" w:hAnsi="Arial" w:cs="Arial"/>
          <w:b/>
          <w:sz w:val="20"/>
          <w:szCs w:val="20"/>
        </w:rPr>
      </w:pPr>
    </w:p>
    <w:p w:rsidR="00723A61" w:rsidRPr="00CE689A" w:rsidRDefault="00CE689A" w:rsidP="00723A61">
      <w:pPr>
        <w:spacing w:after="0" w:line="240" w:lineRule="auto"/>
        <w:rPr>
          <w:rFonts w:ascii="Arial" w:hAnsi="Arial" w:cs="Arial"/>
          <w:sz w:val="20"/>
          <w:szCs w:val="20"/>
        </w:rPr>
      </w:pPr>
      <w:r>
        <w:rPr>
          <w:rFonts w:ascii="Arial" w:hAnsi="Arial" w:cs="Arial"/>
          <w:noProof/>
          <w:sz w:val="20"/>
          <w:szCs w:val="20"/>
          <w:lang w:eastAsia="en-GB"/>
        </w:rPr>
        <mc:AlternateContent>
          <mc:Choice Requires="wps">
            <w:drawing>
              <wp:anchor distT="0" distB="0" distL="114300" distR="114300" simplePos="0" relativeHeight="251660288" behindDoc="0" locked="0" layoutInCell="1" allowOverlap="1" wp14:anchorId="111459CB" wp14:editId="54C56D07">
                <wp:simplePos x="0" y="0"/>
                <wp:positionH relativeFrom="column">
                  <wp:posOffset>4616450</wp:posOffset>
                </wp:positionH>
                <wp:positionV relativeFrom="paragraph">
                  <wp:posOffset>1110310</wp:posOffset>
                </wp:positionV>
                <wp:extent cx="2047875" cy="511810"/>
                <wp:effectExtent l="0" t="0" r="9525" b="2540"/>
                <wp:wrapNone/>
                <wp:docPr id="1" name="Text Box 1"/>
                <wp:cNvGraphicFramePr/>
                <a:graphic xmlns:a="http://schemas.openxmlformats.org/drawingml/2006/main">
                  <a:graphicData uri="http://schemas.microsoft.com/office/word/2010/wordprocessingShape">
                    <wps:wsp>
                      <wps:cNvSpPr txBox="1"/>
                      <wps:spPr>
                        <a:xfrm>
                          <a:off x="0" y="0"/>
                          <a:ext cx="2047875" cy="5118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E689A" w:rsidRDefault="00CE689A">
                            <w:r w:rsidRPr="00CE689A">
                              <w:rPr>
                                <w:noProof/>
                                <w:lang w:eastAsia="en-GB"/>
                              </w:rPr>
                              <w:drawing>
                                <wp:inline distT="0" distB="0" distL="0" distR="0" wp14:anchorId="38239C78" wp14:editId="49367A04">
                                  <wp:extent cx="1836115" cy="385266"/>
                                  <wp:effectExtent l="0" t="0" r="0" b="0"/>
                                  <wp:docPr id="14340" name="Picture 0" descr="Report Shine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40" name="Picture 0" descr="Report Shine logo.bmp"/>
                                          <pic:cNvPicPr>
                                            <a:picLocks noChangeAspect="1" noChangeArrowheads="1"/>
                                          </pic:cNvPicPr>
                                        </pic:nvPicPr>
                                        <pic:blipFill>
                                          <a:blip r:embed="rId12">
                                            <a:clrChange>
                                              <a:clrFrom>
                                                <a:srgbClr val="FFFFFF"/>
                                              </a:clrFrom>
                                              <a:clrTo>
                                                <a:srgbClr val="FFFFFF">
                                                  <a:alpha val="0"/>
                                                </a:srgbClr>
                                              </a:clrTo>
                                            </a:clrChange>
                                          </a:blip>
                                          <a:srcRect/>
                                          <a:stretch>
                                            <a:fillRect/>
                                          </a:stretch>
                                        </pic:blipFill>
                                        <pic:spPr bwMode="auto">
                                          <a:xfrm>
                                            <a:off x="0" y="0"/>
                                            <a:ext cx="1838240" cy="385712"/>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1" o:spid="_x0000_s1026" type="#_x0000_t202" style="position:absolute;margin-left:363.5pt;margin-top:87.45pt;width:161.25pt;height:40.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" fillcolor="white [3201]" stroked="f" strokeweight=".5pt">
                <v:textbox>
                  <w:txbxContent>
                    <w:p w:rsidR="00CE689A" w:rsidRDefault="00CE689A">
                      <w:r w:rsidRPr="00CE689A">
                        <w:rPr>
                          <w:noProof/>
                          <w:lang w:val="en-US"/>
                        </w:rPr>
                        <w:drawing>
                          <wp:inline distT="0" distB="0" distL="0" distR="0" wp14:anchorId="38239C78" wp14:editId="49367A04">
                            <wp:extent cx="1836115" cy="385266"/>
                            <wp:effectExtent l="0" t="0" r="0" b="0"/>
                            <wp:docPr id="14340" name="Picture 0" descr="Report Shine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40" name="Picture 0" descr="Report Shine logo.bmp"/>
                                    <pic:cNvPicPr>
                                      <a:picLocks noChangeAspect="1" noChangeArrowheads="1"/>
                                    </pic:cNvPicPr>
                                  </pic:nvPicPr>
                                  <pic:blipFill>
                                    <a:blip r:embed="rId13">
                                      <a:clrChange>
                                        <a:clrFrom>
                                          <a:srgbClr val="FFFFFF"/>
                                        </a:clrFrom>
                                        <a:clrTo>
                                          <a:srgbClr val="FFFFFF">
                                            <a:alpha val="0"/>
                                          </a:srgbClr>
                                        </a:clrTo>
                                      </a:clrChange>
                                    </a:blip>
                                    <a:srcRect/>
                                    <a:stretch>
                                      <a:fillRect/>
                                    </a:stretch>
                                  </pic:blipFill>
                                  <pic:spPr bwMode="auto">
                                    <a:xfrm>
                                      <a:off x="0" y="0"/>
                                      <a:ext cx="1838240" cy="385712"/>
                                    </a:xfrm>
                                    <a:prstGeom prst="rect">
                                      <a:avLst/>
                                    </a:prstGeom>
                                    <a:noFill/>
                                    <a:ln w="9525">
                                      <a:noFill/>
                                      <a:miter lim="800000"/>
                                      <a:headEnd/>
                                      <a:tailEnd/>
                                    </a:ln>
                                  </pic:spPr>
                                </pic:pic>
                              </a:graphicData>
                            </a:graphic>
                          </wp:inline>
                        </w:drawing>
                      </w:r>
                    </w:p>
                  </w:txbxContent>
                </v:textbox>
              </v:shape>
            </w:pict>
          </mc:Fallback>
        </mc:AlternateContent>
      </w:r>
      <w:r>
        <w:rPr>
          <w:rFonts w:ascii="Arial" w:hAnsi="Arial" w:cs="Arial"/>
          <w:noProof/>
          <w:sz w:val="20"/>
          <w:szCs w:val="20"/>
          <w:lang w:eastAsia="en-GB"/>
        </w:rPr>
        <mc:AlternateContent>
          <mc:Choice Requires="wps">
            <w:drawing>
              <wp:anchor distT="0" distB="0" distL="114300" distR="114300" simplePos="0" relativeHeight="251662336" behindDoc="0" locked="0" layoutInCell="1" allowOverlap="1" wp14:anchorId="26C52CDA" wp14:editId="755676B1">
                <wp:simplePos x="0" y="0"/>
                <wp:positionH relativeFrom="column">
                  <wp:posOffset>4644390</wp:posOffset>
                </wp:positionH>
                <wp:positionV relativeFrom="paragraph">
                  <wp:posOffset>1643075</wp:posOffset>
                </wp:positionV>
                <wp:extent cx="2047875" cy="511810"/>
                <wp:effectExtent l="0" t="0" r="9525" b="2540"/>
                <wp:wrapNone/>
                <wp:docPr id="2" name="Text Box 2"/>
                <wp:cNvGraphicFramePr/>
                <a:graphic xmlns:a="http://schemas.openxmlformats.org/drawingml/2006/main">
                  <a:graphicData uri="http://schemas.microsoft.com/office/word/2010/wordprocessingShape">
                    <wps:wsp>
                      <wps:cNvSpPr txBox="1"/>
                      <wps:spPr>
                        <a:xfrm>
                          <a:off x="0" y="0"/>
                          <a:ext cx="2047875" cy="5118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E689A" w:rsidRDefault="00CE689A" w:rsidP="00CE689A">
                            <w:r>
                              <w:rPr>
                                <w:noProof/>
                                <w:lang w:eastAsia="en-GB"/>
                              </w:rPr>
                              <w:drawing>
                                <wp:inline distT="0" distB="0" distL="0" distR="0" wp14:anchorId="47C3C658" wp14:editId="3C9CF87C">
                                  <wp:extent cx="1858645" cy="267134"/>
                                  <wp:effectExtent l="0" t="0" r="0" b="0"/>
                                  <wp:docPr id="5" name="Picture 5" descr="X:\Shine\Comms and Media\NHCFT Comms\Logo\Northumbri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Shine\Comms and Media\NHCFT Comms\Logo\Northumbria logo.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58645" cy="26713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2" o:spid="_x0000_s1027" type="#_x0000_t202" style="position:absolute;margin-left:365.7pt;margin-top:129.4pt;width:161.25pt;height:40.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" fillcolor="white [3201]" stroked="f" strokeweight=".5pt">
                <v:textbox>
                  <w:txbxContent>
                    <w:p w:rsidR="00CE689A" w:rsidRDefault="00CE689A" w:rsidP="00CE689A">
                      <w:r>
                        <w:rPr>
                          <w:noProof/>
                          <w:lang w:val="en-US"/>
                        </w:rPr>
                        <w:drawing>
                          <wp:inline distT="0" distB="0" distL="0" distR="0" wp14:anchorId="47C3C658" wp14:editId="3C9CF87C">
                            <wp:extent cx="1858645" cy="267134"/>
                            <wp:effectExtent l="0" t="0" r="0" b="0"/>
                            <wp:docPr id="5" name="Picture 5" descr="X:\Shine\Comms and Media\NHCFT Comms\Logo\Northumbri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Shine\Comms and Media\NHCFT Comms\Logo\Northumbria logo.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58645" cy="267134"/>
                                    </a:xfrm>
                                    <a:prstGeom prst="rect">
                                      <a:avLst/>
                                    </a:prstGeom>
                                    <a:noFill/>
                                    <a:ln>
                                      <a:noFill/>
                                    </a:ln>
                                  </pic:spPr>
                                </pic:pic>
                              </a:graphicData>
                            </a:graphic>
                          </wp:inline>
                        </w:drawing>
                      </w:r>
                    </w:p>
                  </w:txbxContent>
                </v:textbox>
              </v:shape>
            </w:pict>
          </mc:Fallback>
        </mc:AlternateContent>
      </w:r>
    </w:p>
    <w:sectPr w:rsidR="00723A61" w:rsidRPr="00CE689A" w:rsidSect="00746F1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0AF5" w:rsidRDefault="005A0AF5" w:rsidP="00091DD2">
      <w:pPr>
        <w:spacing w:after="0" w:line="240" w:lineRule="auto"/>
      </w:pPr>
      <w:r>
        <w:separator/>
      </w:r>
    </w:p>
  </w:endnote>
  <w:endnote w:type="continuationSeparator" w:id="0">
    <w:p w:rsidR="005A0AF5" w:rsidRDefault="005A0AF5" w:rsidP="00091D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0AF5" w:rsidRDefault="005A0AF5" w:rsidP="00091DD2">
      <w:pPr>
        <w:spacing w:after="0" w:line="240" w:lineRule="auto"/>
      </w:pPr>
      <w:r>
        <w:separator/>
      </w:r>
    </w:p>
  </w:footnote>
  <w:footnote w:type="continuationSeparator" w:id="0">
    <w:p w:rsidR="005A0AF5" w:rsidRDefault="005A0AF5" w:rsidP="00091D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64FEE"/>
    <w:multiLevelType w:val="hybridMultilevel"/>
    <w:tmpl w:val="2564E2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B06095F"/>
    <w:multiLevelType w:val="hybridMultilevel"/>
    <w:tmpl w:val="52948A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BF9054F"/>
    <w:multiLevelType w:val="hybridMultilevel"/>
    <w:tmpl w:val="B9DA80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A921BD4"/>
    <w:multiLevelType w:val="hybridMultilevel"/>
    <w:tmpl w:val="7DB4EC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58E5F57"/>
    <w:multiLevelType w:val="hybridMultilevel"/>
    <w:tmpl w:val="BDDC3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9E85C60"/>
    <w:multiLevelType w:val="hybridMultilevel"/>
    <w:tmpl w:val="1512D7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B2448BB"/>
    <w:multiLevelType w:val="hybridMultilevel"/>
    <w:tmpl w:val="D6CA96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33B14974"/>
    <w:multiLevelType w:val="hybridMultilevel"/>
    <w:tmpl w:val="3B6C20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4649199F"/>
    <w:multiLevelType w:val="hybridMultilevel"/>
    <w:tmpl w:val="40FEC2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4A4E62E9"/>
    <w:multiLevelType w:val="hybridMultilevel"/>
    <w:tmpl w:val="AC966B6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58365D23"/>
    <w:multiLevelType w:val="hybridMultilevel"/>
    <w:tmpl w:val="BC1E84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F2C7847"/>
    <w:multiLevelType w:val="hybridMultilevel"/>
    <w:tmpl w:val="25EA0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7"/>
  </w:num>
  <w:num w:numId="4">
    <w:abstractNumId w:val="2"/>
  </w:num>
  <w:num w:numId="5">
    <w:abstractNumId w:val="8"/>
  </w:num>
  <w:num w:numId="6">
    <w:abstractNumId w:val="0"/>
  </w:num>
  <w:num w:numId="7">
    <w:abstractNumId w:val="6"/>
  </w:num>
  <w:num w:numId="8">
    <w:abstractNumId w:val="9"/>
  </w:num>
  <w:num w:numId="9">
    <w:abstractNumId w:val="4"/>
  </w:num>
  <w:num w:numId="10">
    <w:abstractNumId w:val="11"/>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F18"/>
    <w:rsid w:val="000456BC"/>
    <w:rsid w:val="00073AE4"/>
    <w:rsid w:val="00075916"/>
    <w:rsid w:val="00091DD2"/>
    <w:rsid w:val="000A0CD8"/>
    <w:rsid w:val="001C62AC"/>
    <w:rsid w:val="001C7F0A"/>
    <w:rsid w:val="00251FC2"/>
    <w:rsid w:val="00274977"/>
    <w:rsid w:val="002949AA"/>
    <w:rsid w:val="002E54AD"/>
    <w:rsid w:val="0042677B"/>
    <w:rsid w:val="00521A2D"/>
    <w:rsid w:val="005A0AF5"/>
    <w:rsid w:val="005C5E42"/>
    <w:rsid w:val="00671DDE"/>
    <w:rsid w:val="006B614B"/>
    <w:rsid w:val="006C0953"/>
    <w:rsid w:val="0071320F"/>
    <w:rsid w:val="00723A61"/>
    <w:rsid w:val="00746F18"/>
    <w:rsid w:val="0077027C"/>
    <w:rsid w:val="00803EFF"/>
    <w:rsid w:val="0087078F"/>
    <w:rsid w:val="00927218"/>
    <w:rsid w:val="00A1741E"/>
    <w:rsid w:val="00A576E1"/>
    <w:rsid w:val="00BD0097"/>
    <w:rsid w:val="00CE689A"/>
    <w:rsid w:val="00DA5668"/>
    <w:rsid w:val="00E062C8"/>
    <w:rsid w:val="00E43E09"/>
    <w:rsid w:val="00E50790"/>
    <w:rsid w:val="00E5736C"/>
    <w:rsid w:val="00EB0CF4"/>
    <w:rsid w:val="00EE78BB"/>
    <w:rsid w:val="00F94189"/>
    <w:rsid w:val="00FC0CA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0C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0CF4"/>
    <w:rPr>
      <w:rFonts w:ascii="Tahoma" w:hAnsi="Tahoma" w:cs="Tahoma"/>
      <w:sz w:val="16"/>
      <w:szCs w:val="16"/>
    </w:rPr>
  </w:style>
  <w:style w:type="table" w:styleId="TableGrid">
    <w:name w:val="Table Grid"/>
    <w:basedOn w:val="TableNormal"/>
    <w:uiPriority w:val="59"/>
    <w:rsid w:val="00BD00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2">
    <w:name w:val="Light List Accent 2"/>
    <w:basedOn w:val="TableNormal"/>
    <w:uiPriority w:val="61"/>
    <w:rsid w:val="00BD0097"/>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ListParagraph">
    <w:name w:val="List Paragraph"/>
    <w:basedOn w:val="Normal"/>
    <w:uiPriority w:val="34"/>
    <w:qFormat/>
    <w:rsid w:val="0087078F"/>
    <w:pPr>
      <w:ind w:left="720"/>
      <w:contextualSpacing/>
    </w:pPr>
  </w:style>
  <w:style w:type="character" w:styleId="Hyperlink">
    <w:name w:val="Hyperlink"/>
    <w:basedOn w:val="DefaultParagraphFont"/>
    <w:uiPriority w:val="99"/>
    <w:semiHidden/>
    <w:unhideWhenUsed/>
    <w:rsid w:val="00E062C8"/>
    <w:rPr>
      <w:color w:val="0000FF"/>
      <w:u w:val="single"/>
    </w:rPr>
  </w:style>
  <w:style w:type="character" w:styleId="CommentReference">
    <w:name w:val="annotation reference"/>
    <w:basedOn w:val="DefaultParagraphFont"/>
    <w:uiPriority w:val="99"/>
    <w:semiHidden/>
    <w:unhideWhenUsed/>
    <w:rsid w:val="00671DDE"/>
    <w:rPr>
      <w:sz w:val="18"/>
      <w:szCs w:val="18"/>
    </w:rPr>
  </w:style>
  <w:style w:type="paragraph" w:styleId="CommentText">
    <w:name w:val="annotation text"/>
    <w:basedOn w:val="Normal"/>
    <w:link w:val="CommentTextChar"/>
    <w:uiPriority w:val="99"/>
    <w:semiHidden/>
    <w:unhideWhenUsed/>
    <w:rsid w:val="00671DDE"/>
    <w:pPr>
      <w:spacing w:line="240" w:lineRule="auto"/>
    </w:pPr>
    <w:rPr>
      <w:sz w:val="24"/>
      <w:szCs w:val="24"/>
    </w:rPr>
  </w:style>
  <w:style w:type="character" w:customStyle="1" w:styleId="CommentTextChar">
    <w:name w:val="Comment Text Char"/>
    <w:basedOn w:val="DefaultParagraphFont"/>
    <w:link w:val="CommentText"/>
    <w:uiPriority w:val="99"/>
    <w:semiHidden/>
    <w:rsid w:val="00671DDE"/>
    <w:rPr>
      <w:sz w:val="24"/>
      <w:szCs w:val="24"/>
    </w:rPr>
  </w:style>
  <w:style w:type="paragraph" w:styleId="CommentSubject">
    <w:name w:val="annotation subject"/>
    <w:basedOn w:val="CommentText"/>
    <w:next w:val="CommentText"/>
    <w:link w:val="CommentSubjectChar"/>
    <w:uiPriority w:val="99"/>
    <w:semiHidden/>
    <w:unhideWhenUsed/>
    <w:rsid w:val="00671DDE"/>
    <w:rPr>
      <w:b/>
      <w:bCs/>
      <w:sz w:val="20"/>
      <w:szCs w:val="20"/>
    </w:rPr>
  </w:style>
  <w:style w:type="character" w:customStyle="1" w:styleId="CommentSubjectChar">
    <w:name w:val="Comment Subject Char"/>
    <w:basedOn w:val="CommentTextChar"/>
    <w:link w:val="CommentSubject"/>
    <w:uiPriority w:val="99"/>
    <w:semiHidden/>
    <w:rsid w:val="00671DDE"/>
    <w:rPr>
      <w:b/>
      <w:bCs/>
      <w:sz w:val="20"/>
      <w:szCs w:val="20"/>
    </w:rPr>
  </w:style>
  <w:style w:type="paragraph" w:styleId="Header">
    <w:name w:val="header"/>
    <w:basedOn w:val="Normal"/>
    <w:link w:val="HeaderChar"/>
    <w:uiPriority w:val="99"/>
    <w:unhideWhenUsed/>
    <w:rsid w:val="00091D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1DD2"/>
  </w:style>
  <w:style w:type="paragraph" w:styleId="Footer">
    <w:name w:val="footer"/>
    <w:basedOn w:val="Normal"/>
    <w:link w:val="FooterChar"/>
    <w:uiPriority w:val="99"/>
    <w:unhideWhenUsed/>
    <w:rsid w:val="00091D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1DD2"/>
  </w:style>
  <w:style w:type="table" w:styleId="LightGrid-Accent2">
    <w:name w:val="Light Grid Accent 2"/>
    <w:basedOn w:val="TableNormal"/>
    <w:uiPriority w:val="62"/>
    <w:rsid w:val="00723A61"/>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styleId="Revision">
    <w:name w:val="Revision"/>
    <w:hidden/>
    <w:uiPriority w:val="99"/>
    <w:semiHidden/>
    <w:rsid w:val="006C095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0C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0CF4"/>
    <w:rPr>
      <w:rFonts w:ascii="Tahoma" w:hAnsi="Tahoma" w:cs="Tahoma"/>
      <w:sz w:val="16"/>
      <w:szCs w:val="16"/>
    </w:rPr>
  </w:style>
  <w:style w:type="table" w:styleId="TableGrid">
    <w:name w:val="Table Grid"/>
    <w:basedOn w:val="TableNormal"/>
    <w:uiPriority w:val="59"/>
    <w:rsid w:val="00BD00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2">
    <w:name w:val="Light List Accent 2"/>
    <w:basedOn w:val="TableNormal"/>
    <w:uiPriority w:val="61"/>
    <w:rsid w:val="00BD0097"/>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ListParagraph">
    <w:name w:val="List Paragraph"/>
    <w:basedOn w:val="Normal"/>
    <w:uiPriority w:val="34"/>
    <w:qFormat/>
    <w:rsid w:val="0087078F"/>
    <w:pPr>
      <w:ind w:left="720"/>
      <w:contextualSpacing/>
    </w:pPr>
  </w:style>
  <w:style w:type="character" w:styleId="Hyperlink">
    <w:name w:val="Hyperlink"/>
    <w:basedOn w:val="DefaultParagraphFont"/>
    <w:uiPriority w:val="99"/>
    <w:semiHidden/>
    <w:unhideWhenUsed/>
    <w:rsid w:val="00E062C8"/>
    <w:rPr>
      <w:color w:val="0000FF"/>
      <w:u w:val="single"/>
    </w:rPr>
  </w:style>
  <w:style w:type="character" w:styleId="CommentReference">
    <w:name w:val="annotation reference"/>
    <w:basedOn w:val="DefaultParagraphFont"/>
    <w:uiPriority w:val="99"/>
    <w:semiHidden/>
    <w:unhideWhenUsed/>
    <w:rsid w:val="00671DDE"/>
    <w:rPr>
      <w:sz w:val="18"/>
      <w:szCs w:val="18"/>
    </w:rPr>
  </w:style>
  <w:style w:type="paragraph" w:styleId="CommentText">
    <w:name w:val="annotation text"/>
    <w:basedOn w:val="Normal"/>
    <w:link w:val="CommentTextChar"/>
    <w:uiPriority w:val="99"/>
    <w:semiHidden/>
    <w:unhideWhenUsed/>
    <w:rsid w:val="00671DDE"/>
    <w:pPr>
      <w:spacing w:line="240" w:lineRule="auto"/>
    </w:pPr>
    <w:rPr>
      <w:sz w:val="24"/>
      <w:szCs w:val="24"/>
    </w:rPr>
  </w:style>
  <w:style w:type="character" w:customStyle="1" w:styleId="CommentTextChar">
    <w:name w:val="Comment Text Char"/>
    <w:basedOn w:val="DefaultParagraphFont"/>
    <w:link w:val="CommentText"/>
    <w:uiPriority w:val="99"/>
    <w:semiHidden/>
    <w:rsid w:val="00671DDE"/>
    <w:rPr>
      <w:sz w:val="24"/>
      <w:szCs w:val="24"/>
    </w:rPr>
  </w:style>
  <w:style w:type="paragraph" w:styleId="CommentSubject">
    <w:name w:val="annotation subject"/>
    <w:basedOn w:val="CommentText"/>
    <w:next w:val="CommentText"/>
    <w:link w:val="CommentSubjectChar"/>
    <w:uiPriority w:val="99"/>
    <w:semiHidden/>
    <w:unhideWhenUsed/>
    <w:rsid w:val="00671DDE"/>
    <w:rPr>
      <w:b/>
      <w:bCs/>
      <w:sz w:val="20"/>
      <w:szCs w:val="20"/>
    </w:rPr>
  </w:style>
  <w:style w:type="character" w:customStyle="1" w:styleId="CommentSubjectChar">
    <w:name w:val="Comment Subject Char"/>
    <w:basedOn w:val="CommentTextChar"/>
    <w:link w:val="CommentSubject"/>
    <w:uiPriority w:val="99"/>
    <w:semiHidden/>
    <w:rsid w:val="00671DDE"/>
    <w:rPr>
      <w:b/>
      <w:bCs/>
      <w:sz w:val="20"/>
      <w:szCs w:val="20"/>
    </w:rPr>
  </w:style>
  <w:style w:type="paragraph" w:styleId="Header">
    <w:name w:val="header"/>
    <w:basedOn w:val="Normal"/>
    <w:link w:val="HeaderChar"/>
    <w:uiPriority w:val="99"/>
    <w:unhideWhenUsed/>
    <w:rsid w:val="00091D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1DD2"/>
  </w:style>
  <w:style w:type="paragraph" w:styleId="Footer">
    <w:name w:val="footer"/>
    <w:basedOn w:val="Normal"/>
    <w:link w:val="FooterChar"/>
    <w:uiPriority w:val="99"/>
    <w:unhideWhenUsed/>
    <w:rsid w:val="00091D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1DD2"/>
  </w:style>
  <w:style w:type="table" w:styleId="LightGrid-Accent2">
    <w:name w:val="Light Grid Accent 2"/>
    <w:basedOn w:val="TableNormal"/>
    <w:uiPriority w:val="62"/>
    <w:rsid w:val="00723A61"/>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styleId="Revision">
    <w:name w:val="Revision"/>
    <w:hidden/>
    <w:uiPriority w:val="99"/>
    <w:semiHidden/>
    <w:rsid w:val="006C095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0.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ebarchive.nationalarchives.gov.uk/+/http://www.dca.gov.uk/legal-policy/mental-capacity/mca-cp.pdf" TargetMode="External"/><Relationship Id="rId5" Type="http://schemas.openxmlformats.org/officeDocument/2006/relationships/settings" Target="settings.xml"/><Relationship Id="rId15" Type="http://schemas.openxmlformats.org/officeDocument/2006/relationships/image" Target="media/image20.jpeg"/><Relationship Id="rId10" Type="http://schemas.openxmlformats.org/officeDocument/2006/relationships/hyperlink" Target="http://www.legislation.gov.uk/ukpga/2005/9/pdfs/ukpga_20050009_en.pdf" TargetMode="External"/><Relationship Id="rId4" Type="http://schemas.microsoft.com/office/2007/relationships/stylesWithEffects" Target="stylesWithEffects.xml"/><Relationship Id="rId9" Type="http://schemas.openxmlformats.org/officeDocument/2006/relationships/hyperlink" Target="https://web.nhs.net/OWA/redir.aspx?C=dVVRZ_mQwEu03PrE95TvWu9UnBKDWtFIrQJPl61UtkZGWTifxe1Kj5Jd0mDfGwvWfYlOs1YFENE.&amp;URL=https%3a%2f%2fwww.northumbria.nhs.uk%2fuploads%2fmedia_items%2fshine-2012-final-report-template-northumbria-final.original.docx"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A4D995-67AA-4CD0-96DA-398258EC0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929</Words>
  <Characters>5299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Baqir Wasim (RTF) NHCT</dc:creator>
  <cp:lastModifiedBy>Lucy Morgan</cp:lastModifiedBy>
  <cp:revision>2</cp:revision>
  <dcterms:created xsi:type="dcterms:W3CDTF">2015-03-04T17:28:00Z</dcterms:created>
  <dcterms:modified xsi:type="dcterms:W3CDTF">2015-03-04T17:28:00Z</dcterms:modified>
</cp:coreProperties>
</file>